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4CE4F" w14:textId="77777777" w:rsidR="00D648A7" w:rsidRDefault="00D648A7" w:rsidP="003C02AB">
      <w:pPr>
        <w:autoSpaceDE w:val="0"/>
        <w:autoSpaceDN w:val="0"/>
        <w:adjustRightInd w:val="0"/>
        <w:jc w:val="center"/>
        <w:rPr>
          <w:rFonts w:ascii="Arial" w:eastAsiaTheme="minorHAnsi" w:hAnsi="Arial" w:cs="Arial"/>
          <w:b/>
          <w:bCs/>
          <w:sz w:val="24"/>
          <w:szCs w:val="24"/>
        </w:rPr>
      </w:pPr>
    </w:p>
    <w:p w14:paraId="05F0572B" w14:textId="77777777" w:rsidR="00DE5CB5" w:rsidRDefault="00DE5CB5" w:rsidP="00DE5CB5">
      <w:pPr>
        <w:autoSpaceDE w:val="0"/>
        <w:autoSpaceDN w:val="0"/>
        <w:adjustRightInd w:val="0"/>
        <w:rPr>
          <w:rFonts w:ascii="Arial" w:eastAsiaTheme="minorHAnsi" w:hAnsi="Arial" w:cs="Arial"/>
          <w:sz w:val="24"/>
          <w:szCs w:val="24"/>
        </w:rPr>
      </w:pPr>
    </w:p>
    <w:p w14:paraId="21313B83" w14:textId="704CCEEE" w:rsidR="00DE5CB5" w:rsidRPr="00CD5C83" w:rsidRDefault="00DE5CB5" w:rsidP="00CD5C83">
      <w:pPr>
        <w:autoSpaceDE w:val="0"/>
        <w:autoSpaceDN w:val="0"/>
        <w:adjustRightInd w:val="0"/>
        <w:jc w:val="center"/>
        <w:rPr>
          <w:rFonts w:ascii="Arial" w:eastAsiaTheme="minorHAnsi" w:hAnsi="Arial" w:cs="Arial"/>
          <w:b/>
          <w:bCs/>
          <w:sz w:val="24"/>
          <w:szCs w:val="24"/>
        </w:rPr>
      </w:pPr>
      <w:r w:rsidRPr="00CD5C83">
        <w:rPr>
          <w:rFonts w:ascii="Arial" w:eastAsiaTheme="minorHAnsi" w:hAnsi="Arial" w:cs="Arial"/>
          <w:b/>
          <w:bCs/>
          <w:sz w:val="24"/>
          <w:szCs w:val="24"/>
        </w:rPr>
        <w:t>22° Simposio sobre Legislación Tributaria Argentina</w:t>
      </w:r>
    </w:p>
    <w:p w14:paraId="78C4C556" w14:textId="384DC52B" w:rsidR="00DE5CB5" w:rsidRPr="00CD5C83" w:rsidRDefault="00DE5CB5" w:rsidP="00CD5C83">
      <w:pPr>
        <w:autoSpaceDE w:val="0"/>
        <w:autoSpaceDN w:val="0"/>
        <w:adjustRightInd w:val="0"/>
        <w:jc w:val="center"/>
        <w:rPr>
          <w:rFonts w:ascii="Arial" w:eastAsiaTheme="minorHAnsi" w:hAnsi="Arial" w:cs="Arial"/>
          <w:b/>
          <w:sz w:val="24"/>
          <w:szCs w:val="24"/>
        </w:rPr>
      </w:pPr>
    </w:p>
    <w:p w14:paraId="259D6040" w14:textId="03ED6D84" w:rsidR="00DE5CB5" w:rsidRPr="00CD5C83" w:rsidRDefault="00DE5CB5" w:rsidP="00CD5C83">
      <w:pPr>
        <w:autoSpaceDE w:val="0"/>
        <w:autoSpaceDN w:val="0"/>
        <w:adjustRightInd w:val="0"/>
        <w:jc w:val="center"/>
        <w:rPr>
          <w:rFonts w:ascii="Arial" w:eastAsiaTheme="minorHAnsi" w:hAnsi="Arial" w:cs="Arial"/>
          <w:b/>
          <w:sz w:val="24"/>
          <w:szCs w:val="24"/>
        </w:rPr>
      </w:pPr>
      <w:r w:rsidRPr="00CD5C83">
        <w:rPr>
          <w:rFonts w:ascii="Arial" w:eastAsiaTheme="minorHAnsi" w:hAnsi="Arial" w:cs="Arial"/>
          <w:b/>
          <w:sz w:val="24"/>
          <w:szCs w:val="24"/>
        </w:rPr>
        <w:t>Consejo Profesional de Ciencias Económicas de la Ciudad Autónoma</w:t>
      </w:r>
    </w:p>
    <w:p w14:paraId="1A91E7A1" w14:textId="218250A4" w:rsidR="00DE5CB5" w:rsidRPr="00CD5C83" w:rsidRDefault="00DE5CB5" w:rsidP="00CD5C83">
      <w:pPr>
        <w:autoSpaceDE w:val="0"/>
        <w:autoSpaceDN w:val="0"/>
        <w:adjustRightInd w:val="0"/>
        <w:jc w:val="center"/>
        <w:rPr>
          <w:rFonts w:ascii="Arial" w:eastAsiaTheme="minorHAnsi" w:hAnsi="Arial" w:cs="Arial"/>
          <w:b/>
          <w:sz w:val="24"/>
          <w:szCs w:val="24"/>
        </w:rPr>
      </w:pPr>
      <w:r w:rsidRPr="00CD5C83">
        <w:rPr>
          <w:rFonts w:ascii="Arial" w:eastAsiaTheme="minorHAnsi" w:hAnsi="Arial" w:cs="Arial"/>
          <w:b/>
          <w:sz w:val="24"/>
          <w:szCs w:val="24"/>
        </w:rPr>
        <w:t>de Buenos Aires</w:t>
      </w:r>
    </w:p>
    <w:p w14:paraId="2FD36FA7" w14:textId="77777777" w:rsidR="00DE5CB5" w:rsidRPr="00CD5C83" w:rsidRDefault="00DE5CB5" w:rsidP="00CD5C83">
      <w:pPr>
        <w:autoSpaceDE w:val="0"/>
        <w:autoSpaceDN w:val="0"/>
        <w:adjustRightInd w:val="0"/>
        <w:jc w:val="center"/>
        <w:rPr>
          <w:rFonts w:ascii="Arial" w:eastAsiaTheme="minorHAnsi" w:hAnsi="Arial" w:cs="Arial"/>
          <w:b/>
          <w:sz w:val="24"/>
          <w:szCs w:val="24"/>
        </w:rPr>
      </w:pPr>
    </w:p>
    <w:p w14:paraId="09498B41" w14:textId="7C9374A9" w:rsidR="00DE5CB5" w:rsidRDefault="00DE5CB5" w:rsidP="00CD5C83">
      <w:pPr>
        <w:autoSpaceDE w:val="0"/>
        <w:autoSpaceDN w:val="0"/>
        <w:adjustRightInd w:val="0"/>
        <w:jc w:val="center"/>
        <w:rPr>
          <w:rFonts w:ascii="Arial" w:eastAsiaTheme="minorHAnsi" w:hAnsi="Arial" w:cs="Arial"/>
          <w:b/>
          <w:sz w:val="24"/>
          <w:szCs w:val="24"/>
        </w:rPr>
      </w:pPr>
      <w:r w:rsidRPr="00CD5C83">
        <w:rPr>
          <w:rFonts w:ascii="Arial" w:eastAsiaTheme="minorHAnsi" w:hAnsi="Arial" w:cs="Arial"/>
          <w:b/>
          <w:sz w:val="24"/>
          <w:szCs w:val="24"/>
        </w:rPr>
        <w:t>3 al 6 de noviembre de 2020</w:t>
      </w:r>
    </w:p>
    <w:p w14:paraId="5CDFA3E7" w14:textId="77777777" w:rsidR="009D1B11" w:rsidRPr="00CD5C83" w:rsidRDefault="009D1B11" w:rsidP="00CD5C83">
      <w:pPr>
        <w:autoSpaceDE w:val="0"/>
        <w:autoSpaceDN w:val="0"/>
        <w:adjustRightInd w:val="0"/>
        <w:jc w:val="center"/>
        <w:rPr>
          <w:rFonts w:ascii="Arial" w:eastAsiaTheme="minorHAnsi" w:hAnsi="Arial" w:cs="Arial"/>
          <w:b/>
          <w:sz w:val="24"/>
          <w:szCs w:val="24"/>
        </w:rPr>
      </w:pPr>
    </w:p>
    <w:p w14:paraId="656FEEBD" w14:textId="77777777" w:rsidR="00DE5CB5" w:rsidRPr="00DE5CB5" w:rsidRDefault="00DE5CB5" w:rsidP="00CD5C83">
      <w:pPr>
        <w:autoSpaceDE w:val="0"/>
        <w:autoSpaceDN w:val="0"/>
        <w:adjustRightInd w:val="0"/>
        <w:jc w:val="center"/>
        <w:rPr>
          <w:rFonts w:ascii="Arial" w:eastAsiaTheme="minorHAnsi" w:hAnsi="Arial" w:cs="Arial"/>
          <w:sz w:val="24"/>
          <w:szCs w:val="24"/>
        </w:rPr>
      </w:pPr>
    </w:p>
    <w:p w14:paraId="0A9FCDA2" w14:textId="77777777" w:rsidR="009D1B11" w:rsidRPr="009D1B11" w:rsidRDefault="00DE5CB5"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Comisión N° 1:</w:t>
      </w:r>
    </w:p>
    <w:p w14:paraId="4BDE86F5" w14:textId="2FA064DE" w:rsidR="00DE5CB5" w:rsidRPr="009D1B11" w:rsidRDefault="00DE5CB5"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 xml:space="preserve"> “Aspectos esenciales a reformular en el actual Sistema Tributario para incentivar la inversión”</w:t>
      </w:r>
    </w:p>
    <w:p w14:paraId="0F520B58" w14:textId="77777777" w:rsidR="00CD5C83" w:rsidRPr="009D1B11" w:rsidRDefault="00CD5C83" w:rsidP="009D1B11">
      <w:pPr>
        <w:autoSpaceDE w:val="0"/>
        <w:autoSpaceDN w:val="0"/>
        <w:adjustRightInd w:val="0"/>
        <w:rPr>
          <w:rFonts w:ascii="Arial" w:eastAsiaTheme="minorHAnsi" w:hAnsi="Arial" w:cs="Arial"/>
          <w:b/>
          <w:sz w:val="24"/>
          <w:szCs w:val="24"/>
        </w:rPr>
      </w:pPr>
    </w:p>
    <w:p w14:paraId="32EC3C4C" w14:textId="77777777" w:rsidR="00DE5CB5" w:rsidRPr="009D1B11" w:rsidRDefault="00DE5CB5"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Presidente:</w:t>
      </w:r>
    </w:p>
    <w:p w14:paraId="2BD1FA8A" w14:textId="19AFFB8D" w:rsidR="00DE5CB5" w:rsidRPr="009D1B11" w:rsidRDefault="00DE5CB5"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Dr. C.P. Bernardo Arias</w:t>
      </w:r>
    </w:p>
    <w:p w14:paraId="61C88EEC" w14:textId="77777777" w:rsidR="00DE5CB5" w:rsidRPr="009D1B11" w:rsidRDefault="00DE5CB5"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Relatora:</w:t>
      </w:r>
      <w:bookmarkStart w:id="0" w:name="_GoBack"/>
      <w:bookmarkEnd w:id="0"/>
    </w:p>
    <w:p w14:paraId="7173E027" w14:textId="751F78A8" w:rsidR="00DE5CB5" w:rsidRPr="009D1B11" w:rsidRDefault="00DE5CB5"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Dra. C.P. Adriana E. Piano</w:t>
      </w:r>
    </w:p>
    <w:p w14:paraId="056B2617" w14:textId="77777777" w:rsidR="00DE5CB5" w:rsidRPr="009D1B11" w:rsidRDefault="00DE5CB5"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Secretaria:</w:t>
      </w:r>
    </w:p>
    <w:p w14:paraId="58D61B2A" w14:textId="6EF8419A" w:rsidR="00DE5CB5" w:rsidRPr="009D1B11" w:rsidRDefault="00DE5CB5"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Dra. C.P. Patricia Lange</w:t>
      </w:r>
    </w:p>
    <w:p w14:paraId="53A1B1C6" w14:textId="77777777" w:rsidR="00CD5C83" w:rsidRPr="009D1B11" w:rsidRDefault="00CD5C83" w:rsidP="009D1B11">
      <w:pPr>
        <w:autoSpaceDE w:val="0"/>
        <w:autoSpaceDN w:val="0"/>
        <w:adjustRightInd w:val="0"/>
        <w:rPr>
          <w:rFonts w:ascii="Arial" w:eastAsiaTheme="minorHAnsi" w:hAnsi="Arial" w:cs="Arial"/>
          <w:b/>
          <w:sz w:val="24"/>
          <w:szCs w:val="24"/>
        </w:rPr>
      </w:pPr>
    </w:p>
    <w:p w14:paraId="6FEAEAFF" w14:textId="77777777" w:rsidR="009D1B11" w:rsidRPr="009D1B11" w:rsidRDefault="009D1B11"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TÍTULO:</w:t>
      </w:r>
    </w:p>
    <w:p w14:paraId="16AAC4D9" w14:textId="22461C71" w:rsidR="00CD5C83" w:rsidRPr="009D1B11" w:rsidRDefault="00CD5C83"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LOS QUEBRANTOS FISCALES Y SUS IMPLICANCIAS EN LA TOMA DE DECISIONES.</w:t>
      </w:r>
    </w:p>
    <w:p w14:paraId="304E8316" w14:textId="77777777" w:rsidR="00CD5C83" w:rsidRPr="009D1B11" w:rsidRDefault="00CD5C83" w:rsidP="009D1B11">
      <w:pPr>
        <w:autoSpaceDE w:val="0"/>
        <w:autoSpaceDN w:val="0"/>
        <w:adjustRightInd w:val="0"/>
        <w:rPr>
          <w:rFonts w:ascii="Arial" w:eastAsiaTheme="minorHAnsi" w:hAnsi="Arial" w:cs="Arial"/>
          <w:b/>
          <w:sz w:val="24"/>
          <w:szCs w:val="24"/>
        </w:rPr>
      </w:pPr>
    </w:p>
    <w:p w14:paraId="4B2EBC96" w14:textId="3F1D5BDE" w:rsidR="00CD5C83" w:rsidRPr="009D1B11" w:rsidRDefault="00CD5C83"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Autores:</w:t>
      </w:r>
    </w:p>
    <w:p w14:paraId="4F07BD0E" w14:textId="0B7C35AC" w:rsidR="00CD5C83" w:rsidRPr="009D1B11" w:rsidRDefault="00CD5C83"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Dr. Ange</w:t>
      </w:r>
      <w:r w:rsidR="009D1B11">
        <w:rPr>
          <w:rFonts w:ascii="Arial" w:eastAsiaTheme="minorHAnsi" w:hAnsi="Arial" w:cs="Arial"/>
          <w:b/>
          <w:sz w:val="24"/>
          <w:szCs w:val="24"/>
        </w:rPr>
        <w:t>l F. Pereira – Contador Público</w:t>
      </w:r>
      <w:r w:rsidRPr="009D1B11">
        <w:rPr>
          <w:rFonts w:ascii="Arial" w:eastAsiaTheme="minorHAnsi" w:hAnsi="Arial" w:cs="Arial"/>
          <w:b/>
          <w:sz w:val="24"/>
          <w:szCs w:val="24"/>
        </w:rPr>
        <w:t xml:space="preserve"> </w:t>
      </w:r>
      <w:r w:rsidR="009D1B11">
        <w:rPr>
          <w:rFonts w:ascii="Arial" w:eastAsiaTheme="minorHAnsi" w:hAnsi="Arial" w:cs="Arial"/>
          <w:b/>
          <w:sz w:val="24"/>
          <w:szCs w:val="24"/>
        </w:rPr>
        <w:t>y Licenciado en Administración</w:t>
      </w:r>
    </w:p>
    <w:p w14:paraId="76ECA8A9" w14:textId="77777777" w:rsidR="00CD5C83" w:rsidRPr="009D1B11" w:rsidRDefault="00CD5C83" w:rsidP="009D1B11">
      <w:pPr>
        <w:autoSpaceDE w:val="0"/>
        <w:autoSpaceDN w:val="0"/>
        <w:adjustRightInd w:val="0"/>
        <w:rPr>
          <w:rFonts w:ascii="Arial" w:eastAsiaTheme="minorHAnsi" w:hAnsi="Arial" w:cs="Arial"/>
          <w:b/>
          <w:sz w:val="24"/>
          <w:szCs w:val="24"/>
        </w:rPr>
      </w:pPr>
    </w:p>
    <w:p w14:paraId="700F4EC8" w14:textId="3F9307C5" w:rsidR="00CD5C83" w:rsidRPr="009D1B11" w:rsidRDefault="00CD5C83" w:rsidP="009D1B11">
      <w:pPr>
        <w:autoSpaceDE w:val="0"/>
        <w:autoSpaceDN w:val="0"/>
        <w:adjustRightInd w:val="0"/>
        <w:rPr>
          <w:rFonts w:ascii="Arial" w:eastAsiaTheme="minorHAnsi" w:hAnsi="Arial" w:cs="Arial"/>
          <w:b/>
          <w:sz w:val="24"/>
          <w:szCs w:val="24"/>
        </w:rPr>
      </w:pPr>
      <w:r w:rsidRPr="009D1B11">
        <w:rPr>
          <w:rFonts w:ascii="Arial" w:eastAsiaTheme="minorHAnsi" w:hAnsi="Arial" w:cs="Arial"/>
          <w:b/>
          <w:sz w:val="24"/>
          <w:szCs w:val="24"/>
        </w:rPr>
        <w:t>Dr. Fernando M. V</w:t>
      </w:r>
      <w:r w:rsidR="009D1B11">
        <w:rPr>
          <w:rFonts w:ascii="Arial" w:eastAsiaTheme="minorHAnsi" w:hAnsi="Arial" w:cs="Arial"/>
          <w:b/>
          <w:sz w:val="24"/>
          <w:szCs w:val="24"/>
        </w:rPr>
        <w:t>aquero – Contador Público</w:t>
      </w:r>
    </w:p>
    <w:p w14:paraId="63A38FD1" w14:textId="77777777" w:rsidR="00897507" w:rsidRDefault="00897507" w:rsidP="00DE5CB5">
      <w:pPr>
        <w:autoSpaceDE w:val="0"/>
        <w:autoSpaceDN w:val="0"/>
        <w:adjustRightInd w:val="0"/>
        <w:rPr>
          <w:rFonts w:ascii="Arial" w:eastAsiaTheme="minorHAnsi" w:hAnsi="Arial" w:cs="Arial"/>
          <w:sz w:val="24"/>
          <w:szCs w:val="24"/>
        </w:rPr>
      </w:pPr>
    </w:p>
    <w:p w14:paraId="5989EE82" w14:textId="77777777" w:rsidR="00CD5C83" w:rsidRDefault="00CD5C83" w:rsidP="00DE5CB5">
      <w:pPr>
        <w:autoSpaceDE w:val="0"/>
        <w:autoSpaceDN w:val="0"/>
        <w:adjustRightInd w:val="0"/>
        <w:rPr>
          <w:rFonts w:ascii="Arial" w:eastAsiaTheme="minorHAnsi" w:hAnsi="Arial" w:cs="Arial"/>
          <w:sz w:val="24"/>
          <w:szCs w:val="24"/>
        </w:rPr>
      </w:pPr>
    </w:p>
    <w:p w14:paraId="5A09879B" w14:textId="3AA424EB" w:rsidR="00DE5CB5" w:rsidRDefault="00DE5CB5" w:rsidP="00DE5CB5">
      <w:pPr>
        <w:autoSpaceDE w:val="0"/>
        <w:autoSpaceDN w:val="0"/>
        <w:adjustRightInd w:val="0"/>
        <w:rPr>
          <w:rFonts w:ascii="Arial" w:eastAsiaTheme="minorHAnsi" w:hAnsi="Arial" w:cs="Arial"/>
          <w:sz w:val="24"/>
          <w:szCs w:val="24"/>
        </w:rPr>
      </w:pPr>
    </w:p>
    <w:p w14:paraId="78508D0E" w14:textId="0010AA1E" w:rsidR="00463630" w:rsidRDefault="00463630" w:rsidP="00203017">
      <w:pPr>
        <w:autoSpaceDE w:val="0"/>
        <w:autoSpaceDN w:val="0"/>
        <w:adjustRightInd w:val="0"/>
        <w:rPr>
          <w:rFonts w:ascii="Arial" w:eastAsiaTheme="minorHAnsi" w:hAnsi="Arial" w:cs="Arial"/>
          <w:sz w:val="24"/>
          <w:szCs w:val="24"/>
        </w:rPr>
      </w:pPr>
    </w:p>
    <w:p w14:paraId="5FA8FD14" w14:textId="77777777" w:rsidR="00463630" w:rsidRDefault="00463630" w:rsidP="00203017">
      <w:pPr>
        <w:autoSpaceDE w:val="0"/>
        <w:autoSpaceDN w:val="0"/>
        <w:adjustRightInd w:val="0"/>
        <w:rPr>
          <w:rFonts w:ascii="Arial" w:eastAsiaTheme="minorHAnsi" w:hAnsi="Arial" w:cs="Arial"/>
          <w:sz w:val="24"/>
          <w:szCs w:val="24"/>
        </w:rPr>
      </w:pPr>
    </w:p>
    <w:p w14:paraId="6DE9C29C" w14:textId="77777777" w:rsidR="00203017" w:rsidRPr="00203017" w:rsidRDefault="00203017" w:rsidP="0094540F">
      <w:pPr>
        <w:jc w:val="both"/>
        <w:rPr>
          <w:rFonts w:ascii="Arial" w:hAnsi="Arial" w:cs="Arial"/>
          <w:sz w:val="24"/>
          <w:szCs w:val="24"/>
          <w:lang w:val="es-ES"/>
        </w:rPr>
      </w:pPr>
    </w:p>
    <w:p w14:paraId="3BDBC3A6" w14:textId="12018A8E" w:rsidR="005D35D4" w:rsidRDefault="005D35D4" w:rsidP="0094540F">
      <w:pPr>
        <w:jc w:val="both"/>
        <w:rPr>
          <w:rFonts w:ascii="Arial" w:hAnsi="Arial" w:cs="Arial"/>
          <w:sz w:val="24"/>
          <w:szCs w:val="24"/>
          <w:lang w:val="es-ES"/>
        </w:rPr>
      </w:pPr>
      <w:r>
        <w:rPr>
          <w:rFonts w:ascii="Arial" w:hAnsi="Arial" w:cs="Arial"/>
          <w:sz w:val="24"/>
          <w:szCs w:val="24"/>
          <w:lang w:val="es-ES"/>
        </w:rPr>
        <w:br/>
      </w:r>
    </w:p>
    <w:p w14:paraId="602D1C29" w14:textId="77777777" w:rsidR="005D35D4" w:rsidRDefault="005D35D4">
      <w:pPr>
        <w:spacing w:after="160" w:line="259" w:lineRule="auto"/>
        <w:rPr>
          <w:rFonts w:ascii="Arial" w:hAnsi="Arial" w:cs="Arial"/>
          <w:sz w:val="24"/>
          <w:szCs w:val="24"/>
          <w:lang w:val="es-ES"/>
        </w:rPr>
      </w:pPr>
      <w:r>
        <w:rPr>
          <w:rFonts w:ascii="Arial" w:hAnsi="Arial" w:cs="Arial"/>
          <w:sz w:val="24"/>
          <w:szCs w:val="24"/>
          <w:lang w:val="es-ES"/>
        </w:rPr>
        <w:br w:type="page"/>
      </w:r>
    </w:p>
    <w:p w14:paraId="5CE511B4" w14:textId="021A37A9" w:rsidR="00D93EC8" w:rsidRDefault="00DE5CB5" w:rsidP="00DE5CB5">
      <w:pPr>
        <w:rPr>
          <w:rFonts w:ascii="Arial" w:hAnsi="Arial" w:cs="Arial"/>
          <w:b/>
          <w:bCs/>
          <w:sz w:val="24"/>
          <w:szCs w:val="24"/>
          <w:u w:val="single"/>
          <w:lang w:val="es-ES"/>
        </w:rPr>
      </w:pPr>
      <w:bookmarkStart w:id="1" w:name="_Hlk54597041"/>
      <w:r w:rsidRPr="00DE5CB5">
        <w:rPr>
          <w:rFonts w:ascii="Arial" w:hAnsi="Arial" w:cs="Arial"/>
          <w:b/>
          <w:bCs/>
          <w:sz w:val="24"/>
          <w:szCs w:val="24"/>
          <w:u w:val="single"/>
          <w:lang w:val="es-ES"/>
        </w:rPr>
        <w:lastRenderedPageBreak/>
        <w:t>LOS QUEBRANTOS FISCALES Y SUS IMPLICANCIAS EN LA TOMA DE DECISIONES.</w:t>
      </w:r>
    </w:p>
    <w:bookmarkEnd w:id="1"/>
    <w:p w14:paraId="42D5F5F6" w14:textId="2549A53F" w:rsidR="00DE5CB5" w:rsidRDefault="00DE5CB5" w:rsidP="00DE5CB5">
      <w:pPr>
        <w:jc w:val="center"/>
        <w:rPr>
          <w:rFonts w:ascii="Arial" w:hAnsi="Arial" w:cs="Arial"/>
          <w:b/>
          <w:bCs/>
          <w:sz w:val="24"/>
          <w:szCs w:val="24"/>
          <w:u w:val="single"/>
          <w:lang w:val="es-ES"/>
        </w:rPr>
      </w:pPr>
    </w:p>
    <w:p w14:paraId="15552DA4" w14:textId="77777777" w:rsidR="00DE5CB5" w:rsidRDefault="00DE5CB5" w:rsidP="00DE5CB5">
      <w:pPr>
        <w:jc w:val="center"/>
        <w:rPr>
          <w:rFonts w:ascii="Arial" w:hAnsi="Arial" w:cs="Arial"/>
          <w:sz w:val="24"/>
          <w:szCs w:val="24"/>
          <w:lang w:val="es-ES"/>
        </w:rPr>
      </w:pPr>
    </w:p>
    <w:p w14:paraId="5B36EE34" w14:textId="4C5E0C61" w:rsidR="003C69AF" w:rsidRPr="003C69AF" w:rsidRDefault="003C69AF" w:rsidP="003C69AF">
      <w:pPr>
        <w:jc w:val="both"/>
        <w:rPr>
          <w:rFonts w:ascii="Arial" w:hAnsi="Arial" w:cs="Arial"/>
          <w:sz w:val="24"/>
          <w:szCs w:val="24"/>
          <w:u w:val="single"/>
          <w:lang w:val="es-ES"/>
        </w:rPr>
      </w:pPr>
      <w:r w:rsidRPr="003C69AF">
        <w:rPr>
          <w:rFonts w:ascii="Arial" w:hAnsi="Arial" w:cs="Arial"/>
          <w:sz w:val="24"/>
          <w:szCs w:val="24"/>
          <w:u w:val="single"/>
          <w:lang w:val="es-ES"/>
        </w:rPr>
        <w:t xml:space="preserve">Índice </w:t>
      </w:r>
    </w:p>
    <w:p w14:paraId="172A5373" w14:textId="77777777" w:rsidR="003C69AF" w:rsidRDefault="003C69AF" w:rsidP="003C69AF">
      <w:pPr>
        <w:jc w:val="both"/>
        <w:rPr>
          <w:rFonts w:ascii="Arial" w:hAnsi="Arial" w:cs="Arial"/>
          <w:sz w:val="24"/>
          <w:szCs w:val="24"/>
          <w:lang w:val="es-ES"/>
        </w:rPr>
      </w:pPr>
    </w:p>
    <w:p w14:paraId="711E824E" w14:textId="7C58058D" w:rsidR="00D93EC8" w:rsidRPr="003C69AF" w:rsidRDefault="00D93EC8" w:rsidP="003C69AF">
      <w:pPr>
        <w:jc w:val="both"/>
        <w:rPr>
          <w:rFonts w:ascii="Arial" w:hAnsi="Arial" w:cs="Arial"/>
          <w:sz w:val="24"/>
          <w:szCs w:val="24"/>
          <w:lang w:val="es-ES"/>
        </w:rPr>
      </w:pPr>
      <w:r>
        <w:rPr>
          <w:rFonts w:ascii="Arial" w:hAnsi="Arial" w:cs="Arial"/>
          <w:sz w:val="24"/>
          <w:szCs w:val="24"/>
          <w:lang w:val="es-ES"/>
        </w:rPr>
        <w:t xml:space="preserve">1. </w:t>
      </w:r>
      <w:r w:rsidRPr="003C69AF">
        <w:rPr>
          <w:rFonts w:ascii="Arial" w:hAnsi="Arial" w:cs="Arial"/>
          <w:sz w:val="24"/>
          <w:szCs w:val="24"/>
          <w:lang w:val="es-ES"/>
        </w:rPr>
        <w:t>Introducción</w:t>
      </w:r>
    </w:p>
    <w:p w14:paraId="06B7E988" w14:textId="77777777" w:rsidR="003C69AF" w:rsidRDefault="003C69AF" w:rsidP="003C69AF">
      <w:pPr>
        <w:jc w:val="both"/>
        <w:rPr>
          <w:rFonts w:ascii="Arial" w:hAnsi="Arial" w:cs="Arial"/>
          <w:sz w:val="24"/>
          <w:szCs w:val="24"/>
          <w:lang w:val="es-ES"/>
        </w:rPr>
      </w:pPr>
    </w:p>
    <w:p w14:paraId="4DFF1FF7" w14:textId="58CE8B03" w:rsidR="00D93EC8" w:rsidRPr="003C69AF" w:rsidRDefault="00D93EC8" w:rsidP="003C69AF">
      <w:pPr>
        <w:jc w:val="both"/>
        <w:rPr>
          <w:rFonts w:ascii="Arial" w:hAnsi="Arial" w:cs="Arial"/>
          <w:sz w:val="24"/>
          <w:szCs w:val="24"/>
          <w:lang w:val="es-ES"/>
        </w:rPr>
      </w:pPr>
      <w:r w:rsidRPr="003C69AF">
        <w:rPr>
          <w:rFonts w:ascii="Arial" w:hAnsi="Arial" w:cs="Arial"/>
          <w:sz w:val="24"/>
          <w:szCs w:val="24"/>
          <w:lang w:val="es-ES"/>
        </w:rPr>
        <w:t>2. Plazo y traslación de quebrantos</w:t>
      </w:r>
    </w:p>
    <w:p w14:paraId="40E9C38E" w14:textId="77777777" w:rsidR="003C69AF" w:rsidRDefault="003C69AF" w:rsidP="003C69AF">
      <w:pPr>
        <w:jc w:val="both"/>
        <w:rPr>
          <w:rFonts w:ascii="Arial" w:hAnsi="Arial" w:cs="Arial"/>
          <w:sz w:val="24"/>
          <w:szCs w:val="24"/>
          <w:lang w:val="es-ES"/>
        </w:rPr>
      </w:pPr>
    </w:p>
    <w:p w14:paraId="54B24355" w14:textId="5886A80C" w:rsidR="00D93EC8" w:rsidRPr="003C69AF" w:rsidRDefault="00D93EC8" w:rsidP="003C69AF">
      <w:pPr>
        <w:jc w:val="both"/>
        <w:rPr>
          <w:rFonts w:ascii="Arial" w:hAnsi="Arial" w:cs="Arial"/>
          <w:sz w:val="24"/>
          <w:szCs w:val="24"/>
          <w:lang w:val="es-ES"/>
        </w:rPr>
      </w:pPr>
      <w:r w:rsidRPr="003C69AF">
        <w:rPr>
          <w:rFonts w:ascii="Arial" w:hAnsi="Arial" w:cs="Arial"/>
          <w:sz w:val="24"/>
          <w:szCs w:val="24"/>
          <w:lang w:val="es-ES"/>
        </w:rPr>
        <w:t>3. Régimen de compensación de quebrantos</w:t>
      </w:r>
    </w:p>
    <w:p w14:paraId="0E5ADCC2" w14:textId="77777777" w:rsidR="003C69AF" w:rsidRDefault="003C69AF" w:rsidP="003C69AF">
      <w:pPr>
        <w:jc w:val="both"/>
        <w:rPr>
          <w:rFonts w:ascii="Arial" w:hAnsi="Arial" w:cs="Arial"/>
          <w:sz w:val="24"/>
          <w:szCs w:val="24"/>
          <w:lang w:val="es-ES"/>
        </w:rPr>
      </w:pPr>
    </w:p>
    <w:p w14:paraId="0F2DE244" w14:textId="62FFE757" w:rsidR="00D93EC8" w:rsidRPr="003C69AF" w:rsidRDefault="00D93EC8" w:rsidP="003C69AF">
      <w:pPr>
        <w:jc w:val="both"/>
        <w:rPr>
          <w:rFonts w:ascii="Arial" w:hAnsi="Arial" w:cs="Arial"/>
          <w:sz w:val="24"/>
          <w:szCs w:val="24"/>
          <w:lang w:val="es-ES"/>
        </w:rPr>
      </w:pPr>
      <w:r w:rsidRPr="003C69AF">
        <w:rPr>
          <w:rFonts w:ascii="Arial" w:hAnsi="Arial" w:cs="Arial"/>
          <w:sz w:val="24"/>
          <w:szCs w:val="24"/>
          <w:lang w:val="es-ES"/>
        </w:rPr>
        <w:t>4. Consideraciones a los quebrantos solo compensables con rentas de similar naturaleza</w:t>
      </w:r>
    </w:p>
    <w:p w14:paraId="2D21CF80" w14:textId="77777777" w:rsidR="003C69AF" w:rsidRDefault="003C69AF" w:rsidP="003C69AF">
      <w:pPr>
        <w:ind w:firstLine="708"/>
        <w:jc w:val="both"/>
        <w:rPr>
          <w:rFonts w:ascii="Arial" w:hAnsi="Arial" w:cs="Arial"/>
          <w:sz w:val="24"/>
          <w:szCs w:val="24"/>
          <w:lang w:val="es-ES"/>
        </w:rPr>
      </w:pPr>
    </w:p>
    <w:p w14:paraId="40F79E10" w14:textId="4ED3C462" w:rsidR="00D93EC8" w:rsidRPr="003C69AF" w:rsidRDefault="00D93EC8" w:rsidP="003C69AF">
      <w:pPr>
        <w:ind w:left="708"/>
        <w:jc w:val="both"/>
        <w:rPr>
          <w:rFonts w:ascii="Arial" w:hAnsi="Arial" w:cs="Arial"/>
          <w:sz w:val="24"/>
          <w:szCs w:val="24"/>
          <w:lang w:val="es-ES"/>
        </w:rPr>
      </w:pPr>
      <w:r w:rsidRPr="003C69AF">
        <w:rPr>
          <w:rFonts w:ascii="Arial" w:hAnsi="Arial" w:cs="Arial"/>
          <w:sz w:val="24"/>
          <w:szCs w:val="24"/>
          <w:lang w:val="es-ES"/>
        </w:rPr>
        <w:t xml:space="preserve">4.1. Quebrantos derivados de operaciones de enajenación de acciones, y demás títulos valores </w:t>
      </w:r>
    </w:p>
    <w:p w14:paraId="07E240A1" w14:textId="77777777" w:rsidR="00D93EC8" w:rsidRPr="003C69AF" w:rsidRDefault="00D93EC8" w:rsidP="003C69AF">
      <w:pPr>
        <w:ind w:left="708"/>
        <w:jc w:val="both"/>
        <w:rPr>
          <w:rFonts w:ascii="Arial" w:hAnsi="Arial" w:cs="Arial"/>
          <w:sz w:val="24"/>
          <w:szCs w:val="24"/>
          <w:lang w:val="es-ES"/>
        </w:rPr>
      </w:pPr>
      <w:r w:rsidRPr="003C69AF">
        <w:rPr>
          <w:rFonts w:ascii="Arial" w:hAnsi="Arial" w:cs="Arial"/>
          <w:sz w:val="24"/>
          <w:szCs w:val="24"/>
          <w:lang w:val="es-ES"/>
        </w:rPr>
        <w:t>4.2. La realidad económica, un quebranto especifico o un costo propio del del giro del negocio</w:t>
      </w:r>
    </w:p>
    <w:p w14:paraId="5712C682" w14:textId="05222A8F" w:rsidR="00D93EC8" w:rsidRDefault="00D93EC8" w:rsidP="003C69AF">
      <w:pPr>
        <w:ind w:left="708"/>
        <w:jc w:val="both"/>
        <w:rPr>
          <w:rFonts w:ascii="Arial" w:hAnsi="Arial" w:cs="Arial"/>
          <w:sz w:val="24"/>
          <w:szCs w:val="24"/>
          <w:lang w:val="es-ES"/>
        </w:rPr>
      </w:pPr>
      <w:r w:rsidRPr="003C69AF">
        <w:rPr>
          <w:rFonts w:ascii="Arial" w:hAnsi="Arial" w:cs="Arial"/>
          <w:sz w:val="24"/>
          <w:szCs w:val="24"/>
          <w:lang w:val="es-ES"/>
        </w:rPr>
        <w:t>4.3. Quebrantos generados por operaciones con instrumentos y/o contratos derivados, de naturaleza especulativa (excluye a operaciones de cobertura).</w:t>
      </w:r>
    </w:p>
    <w:p w14:paraId="0AC76740" w14:textId="77777777" w:rsidR="003C69AF" w:rsidRPr="003C69AF" w:rsidRDefault="003C69AF" w:rsidP="003C69AF">
      <w:pPr>
        <w:ind w:left="708"/>
        <w:jc w:val="both"/>
        <w:rPr>
          <w:rFonts w:ascii="Arial" w:hAnsi="Arial" w:cs="Arial"/>
          <w:sz w:val="24"/>
          <w:szCs w:val="24"/>
          <w:lang w:val="es-ES"/>
        </w:rPr>
      </w:pPr>
    </w:p>
    <w:p w14:paraId="31B16989" w14:textId="1ED0B7AD" w:rsidR="00D93EC8" w:rsidRPr="003C69AF" w:rsidRDefault="00D93EC8" w:rsidP="003C69AF">
      <w:pPr>
        <w:jc w:val="both"/>
        <w:rPr>
          <w:rFonts w:ascii="Arial" w:hAnsi="Arial" w:cs="Arial"/>
          <w:sz w:val="24"/>
          <w:szCs w:val="24"/>
          <w:lang w:val="es-ES"/>
        </w:rPr>
      </w:pPr>
      <w:r w:rsidRPr="003C69AF">
        <w:rPr>
          <w:rFonts w:ascii="Arial" w:hAnsi="Arial" w:cs="Arial"/>
          <w:sz w:val="24"/>
          <w:szCs w:val="24"/>
          <w:lang w:val="es-ES"/>
        </w:rPr>
        <w:t>5. Los quebrantos se trasladan a moneda constante, o se deterioran por el efecto inflacionario.</w:t>
      </w:r>
    </w:p>
    <w:p w14:paraId="08CA4F13" w14:textId="77777777" w:rsidR="003C69AF" w:rsidRDefault="003C69AF" w:rsidP="003C69AF">
      <w:pPr>
        <w:jc w:val="both"/>
        <w:rPr>
          <w:rFonts w:ascii="Arial" w:hAnsi="Arial" w:cs="Arial"/>
          <w:sz w:val="24"/>
          <w:szCs w:val="24"/>
          <w:lang w:val="es-ES"/>
        </w:rPr>
      </w:pPr>
    </w:p>
    <w:p w14:paraId="3E022C61" w14:textId="5CA66460" w:rsidR="00D93EC8" w:rsidRDefault="00D93EC8" w:rsidP="003C69AF">
      <w:pPr>
        <w:ind w:firstLine="708"/>
        <w:jc w:val="both"/>
        <w:rPr>
          <w:rFonts w:ascii="Arial" w:hAnsi="Arial" w:cs="Arial"/>
          <w:sz w:val="24"/>
          <w:szCs w:val="24"/>
          <w:lang w:val="es-ES"/>
        </w:rPr>
      </w:pPr>
      <w:r w:rsidRPr="003C69AF">
        <w:rPr>
          <w:rFonts w:ascii="Arial" w:hAnsi="Arial" w:cs="Arial"/>
          <w:sz w:val="24"/>
          <w:szCs w:val="24"/>
          <w:lang w:val="es-ES"/>
        </w:rPr>
        <w:t>5.1. Situación pre-reforma de la Ley N° 27.430</w:t>
      </w:r>
      <w:r w:rsidR="003C69AF">
        <w:rPr>
          <w:rFonts w:ascii="Arial" w:hAnsi="Arial" w:cs="Arial"/>
          <w:sz w:val="24"/>
          <w:szCs w:val="24"/>
          <w:lang w:val="es-ES"/>
        </w:rPr>
        <w:t>.</w:t>
      </w:r>
    </w:p>
    <w:p w14:paraId="7665A1F2" w14:textId="35D1D4A5" w:rsidR="000B6B88" w:rsidRPr="003C69AF" w:rsidRDefault="000B6B88" w:rsidP="003E1ED3">
      <w:pPr>
        <w:ind w:left="708"/>
        <w:jc w:val="both"/>
        <w:rPr>
          <w:rFonts w:ascii="Arial" w:hAnsi="Arial" w:cs="Arial"/>
          <w:sz w:val="24"/>
          <w:szCs w:val="24"/>
          <w:lang w:val="es-ES"/>
        </w:rPr>
      </w:pPr>
      <w:r w:rsidRPr="000B6B88">
        <w:rPr>
          <w:rFonts w:ascii="Arial" w:hAnsi="Arial" w:cs="Arial"/>
          <w:sz w:val="24"/>
          <w:szCs w:val="24"/>
          <w:lang w:val="es-ES"/>
        </w:rPr>
        <w:t xml:space="preserve">5 </w:t>
      </w:r>
      <w:r>
        <w:rPr>
          <w:rFonts w:ascii="Arial" w:hAnsi="Arial" w:cs="Arial"/>
          <w:sz w:val="24"/>
          <w:szCs w:val="24"/>
          <w:lang w:val="es-ES"/>
        </w:rPr>
        <w:t>2</w:t>
      </w:r>
      <w:r w:rsidRPr="000B6B88">
        <w:rPr>
          <w:rFonts w:ascii="Arial" w:hAnsi="Arial" w:cs="Arial"/>
          <w:sz w:val="24"/>
          <w:szCs w:val="24"/>
          <w:lang w:val="es-ES"/>
        </w:rPr>
        <w:t>. La actualización de los quebrantos. Situación post-reforma de la Ley N° 27.430.</w:t>
      </w:r>
    </w:p>
    <w:p w14:paraId="556D9215" w14:textId="4DD78DF7" w:rsidR="00D93EC8" w:rsidRPr="003C69AF" w:rsidRDefault="00D93EC8" w:rsidP="003C69AF">
      <w:pPr>
        <w:ind w:left="708"/>
        <w:jc w:val="both"/>
        <w:rPr>
          <w:rFonts w:ascii="Arial" w:hAnsi="Arial" w:cs="Arial"/>
          <w:sz w:val="24"/>
          <w:szCs w:val="24"/>
          <w:lang w:val="es-ES"/>
        </w:rPr>
      </w:pPr>
      <w:r w:rsidRPr="003C69AF">
        <w:rPr>
          <w:rFonts w:ascii="Arial" w:hAnsi="Arial" w:cs="Arial"/>
          <w:sz w:val="24"/>
          <w:szCs w:val="24"/>
          <w:lang w:val="es-ES"/>
        </w:rPr>
        <w:t>5.</w:t>
      </w:r>
      <w:r w:rsidR="000B6B88">
        <w:rPr>
          <w:rFonts w:ascii="Arial" w:hAnsi="Arial" w:cs="Arial"/>
          <w:sz w:val="24"/>
          <w:szCs w:val="24"/>
          <w:lang w:val="es-ES"/>
        </w:rPr>
        <w:t>3</w:t>
      </w:r>
      <w:r w:rsidRPr="003C69AF">
        <w:rPr>
          <w:rFonts w:ascii="Arial" w:hAnsi="Arial" w:cs="Arial"/>
          <w:sz w:val="24"/>
          <w:szCs w:val="24"/>
          <w:lang w:val="es-ES"/>
        </w:rPr>
        <w:t>. El quebranto derivado del ajuste por inflación. Situación post-reforma de la Ley N° 27.430</w:t>
      </w:r>
      <w:r w:rsidR="003C69AF">
        <w:rPr>
          <w:rFonts w:ascii="Arial" w:hAnsi="Arial" w:cs="Arial"/>
          <w:sz w:val="24"/>
          <w:szCs w:val="24"/>
          <w:lang w:val="es-ES"/>
        </w:rPr>
        <w:t>.</w:t>
      </w:r>
    </w:p>
    <w:p w14:paraId="3B58C802" w14:textId="15BB5526" w:rsidR="003C69AF" w:rsidRPr="003C69AF" w:rsidRDefault="003C69AF" w:rsidP="003C69AF">
      <w:pPr>
        <w:ind w:left="708"/>
        <w:jc w:val="both"/>
        <w:rPr>
          <w:rFonts w:ascii="Arial" w:hAnsi="Arial" w:cs="Arial"/>
          <w:sz w:val="24"/>
          <w:szCs w:val="24"/>
          <w:lang w:val="es-ES"/>
        </w:rPr>
      </w:pPr>
      <w:r w:rsidRPr="003C69AF">
        <w:rPr>
          <w:rFonts w:ascii="Arial" w:hAnsi="Arial" w:cs="Arial"/>
          <w:sz w:val="24"/>
          <w:szCs w:val="24"/>
          <w:lang w:val="es-ES"/>
        </w:rPr>
        <w:t>5</w:t>
      </w:r>
      <w:r>
        <w:rPr>
          <w:rFonts w:ascii="Arial" w:hAnsi="Arial" w:cs="Arial"/>
          <w:sz w:val="24"/>
          <w:szCs w:val="24"/>
          <w:lang w:val="es-ES"/>
        </w:rPr>
        <w:t>.</w:t>
      </w:r>
      <w:r w:rsidRPr="003C69AF">
        <w:rPr>
          <w:rFonts w:ascii="Arial" w:hAnsi="Arial" w:cs="Arial"/>
          <w:sz w:val="24"/>
          <w:szCs w:val="24"/>
          <w:lang w:val="es-ES"/>
        </w:rPr>
        <w:t>4. El quebranto derivado de préstamos financieros, potencial diferimiento.</w:t>
      </w:r>
    </w:p>
    <w:p w14:paraId="26D5E9D7" w14:textId="4EBE44DB" w:rsidR="003C69AF" w:rsidRPr="003C69AF" w:rsidRDefault="003C69AF" w:rsidP="003C69AF">
      <w:pPr>
        <w:ind w:firstLine="708"/>
        <w:jc w:val="both"/>
        <w:rPr>
          <w:rFonts w:ascii="Arial" w:hAnsi="Arial" w:cs="Arial"/>
          <w:sz w:val="24"/>
          <w:szCs w:val="24"/>
          <w:lang w:val="es-ES"/>
        </w:rPr>
      </w:pPr>
      <w:r w:rsidRPr="003C69AF">
        <w:rPr>
          <w:rFonts w:ascii="Arial" w:hAnsi="Arial" w:cs="Arial"/>
          <w:sz w:val="24"/>
          <w:szCs w:val="24"/>
          <w:lang w:val="es-ES"/>
        </w:rPr>
        <w:t>5</w:t>
      </w:r>
      <w:r>
        <w:rPr>
          <w:rFonts w:ascii="Arial" w:hAnsi="Arial" w:cs="Arial"/>
          <w:sz w:val="24"/>
          <w:szCs w:val="24"/>
          <w:lang w:val="es-ES"/>
        </w:rPr>
        <w:t>.</w:t>
      </w:r>
      <w:r w:rsidRPr="003C69AF">
        <w:rPr>
          <w:rFonts w:ascii="Arial" w:hAnsi="Arial" w:cs="Arial"/>
          <w:sz w:val="24"/>
          <w:szCs w:val="24"/>
          <w:lang w:val="es-ES"/>
        </w:rPr>
        <w:t>5. Resumen de quebrantos fiscales, imputable en ejercicios futuros.</w:t>
      </w:r>
    </w:p>
    <w:p w14:paraId="4B9B077B" w14:textId="77777777" w:rsidR="003C69AF" w:rsidRDefault="003C69AF" w:rsidP="003C69AF">
      <w:pPr>
        <w:jc w:val="both"/>
        <w:rPr>
          <w:rFonts w:ascii="Arial" w:hAnsi="Arial" w:cs="Arial"/>
          <w:sz w:val="24"/>
          <w:szCs w:val="24"/>
          <w:lang w:val="es-ES"/>
        </w:rPr>
      </w:pPr>
    </w:p>
    <w:p w14:paraId="5759313A" w14:textId="29205C6E" w:rsidR="003E1ED3" w:rsidRDefault="000B6B88" w:rsidP="00592C47">
      <w:pPr>
        <w:tabs>
          <w:tab w:val="left" w:pos="960"/>
          <w:tab w:val="left" w:pos="3360"/>
        </w:tabs>
        <w:jc w:val="both"/>
        <w:rPr>
          <w:rFonts w:ascii="Arial" w:hAnsi="Arial" w:cs="Arial"/>
          <w:sz w:val="24"/>
          <w:szCs w:val="24"/>
          <w:lang w:val="es-ES"/>
        </w:rPr>
      </w:pPr>
      <w:r>
        <w:rPr>
          <w:rFonts w:ascii="Arial" w:hAnsi="Arial" w:cs="Arial"/>
          <w:sz w:val="24"/>
          <w:szCs w:val="24"/>
          <w:lang w:val="es-ES"/>
        </w:rPr>
        <w:t>6</w:t>
      </w:r>
      <w:r w:rsidR="003C69AF" w:rsidRPr="003C69AF">
        <w:rPr>
          <w:rFonts w:ascii="Arial" w:hAnsi="Arial" w:cs="Arial"/>
          <w:sz w:val="24"/>
          <w:szCs w:val="24"/>
          <w:lang w:val="es-ES"/>
        </w:rPr>
        <w:t>. Alternativas previstas en la ley. La utilización efectiva de los quebrantos.</w:t>
      </w:r>
      <w:r>
        <w:rPr>
          <w:rFonts w:ascii="Arial" w:hAnsi="Arial" w:cs="Arial"/>
          <w:sz w:val="24"/>
          <w:szCs w:val="24"/>
          <w:lang w:val="es-ES"/>
        </w:rPr>
        <w:t xml:space="preserve"> </w:t>
      </w:r>
    </w:p>
    <w:p w14:paraId="04427CBA" w14:textId="77777777" w:rsidR="00AB6A5D" w:rsidRDefault="00AB6A5D" w:rsidP="003C69AF">
      <w:pPr>
        <w:rPr>
          <w:rFonts w:ascii="Arial" w:hAnsi="Arial" w:cs="Arial"/>
          <w:sz w:val="24"/>
          <w:szCs w:val="24"/>
          <w:lang w:val="es-ES"/>
        </w:rPr>
      </w:pPr>
    </w:p>
    <w:p w14:paraId="1E437F24" w14:textId="77777777" w:rsidR="00AB6A5D" w:rsidRPr="003C5118" w:rsidRDefault="00AB6A5D" w:rsidP="00592C47">
      <w:pPr>
        <w:ind w:firstLine="708"/>
        <w:jc w:val="both"/>
        <w:rPr>
          <w:rFonts w:ascii="Arial" w:hAnsi="Arial" w:cs="Arial"/>
          <w:sz w:val="24"/>
          <w:szCs w:val="24"/>
        </w:rPr>
      </w:pPr>
      <w:r>
        <w:rPr>
          <w:rFonts w:ascii="Arial" w:hAnsi="Arial" w:cs="Arial"/>
          <w:sz w:val="24"/>
          <w:szCs w:val="24"/>
        </w:rPr>
        <w:t xml:space="preserve">6.1. </w:t>
      </w:r>
      <w:r w:rsidRPr="00592C47">
        <w:rPr>
          <w:rFonts w:ascii="Arial" w:hAnsi="Arial" w:cs="Arial"/>
          <w:sz w:val="24"/>
          <w:szCs w:val="24"/>
        </w:rPr>
        <w:t>Los gastos de organización</w:t>
      </w:r>
    </w:p>
    <w:p w14:paraId="139CF952" w14:textId="77777777" w:rsidR="007D700C" w:rsidRPr="00592C47" w:rsidRDefault="007D700C" w:rsidP="00592C47">
      <w:pPr>
        <w:ind w:firstLine="708"/>
        <w:jc w:val="both"/>
        <w:rPr>
          <w:rFonts w:ascii="Arial" w:hAnsi="Arial" w:cs="Arial"/>
          <w:sz w:val="24"/>
          <w:szCs w:val="24"/>
          <w:lang w:val="es-ES"/>
        </w:rPr>
      </w:pPr>
      <w:r>
        <w:rPr>
          <w:rFonts w:ascii="Arial" w:hAnsi="Arial" w:cs="Arial"/>
          <w:sz w:val="24"/>
          <w:szCs w:val="24"/>
          <w:lang w:val="es-ES"/>
        </w:rPr>
        <w:t xml:space="preserve">6.2. </w:t>
      </w:r>
      <w:r w:rsidRPr="00592C47">
        <w:rPr>
          <w:rFonts w:ascii="Arial" w:hAnsi="Arial" w:cs="Arial"/>
          <w:sz w:val="24"/>
          <w:szCs w:val="24"/>
          <w:lang w:val="es-ES"/>
        </w:rPr>
        <w:t>La transferibilidad de los quebrantos.</w:t>
      </w:r>
    </w:p>
    <w:p w14:paraId="38661C8B" w14:textId="77777777" w:rsidR="007D700C" w:rsidRDefault="007D700C" w:rsidP="00592C47">
      <w:pPr>
        <w:ind w:firstLine="708"/>
        <w:jc w:val="both"/>
        <w:rPr>
          <w:rFonts w:ascii="Arial" w:hAnsi="Arial" w:cs="Arial"/>
          <w:sz w:val="24"/>
          <w:szCs w:val="24"/>
          <w:lang w:val="es-ES"/>
        </w:rPr>
      </w:pPr>
      <w:r>
        <w:rPr>
          <w:rFonts w:ascii="Arial" w:hAnsi="Arial" w:cs="Arial"/>
          <w:sz w:val="24"/>
          <w:szCs w:val="24"/>
          <w:lang w:val="es-ES"/>
        </w:rPr>
        <w:t xml:space="preserve">6.2.1. </w:t>
      </w:r>
      <w:r w:rsidRPr="00592C47">
        <w:rPr>
          <w:rFonts w:ascii="Arial" w:hAnsi="Arial" w:cs="Arial"/>
          <w:sz w:val="24"/>
          <w:szCs w:val="24"/>
          <w:lang w:val="es-ES"/>
        </w:rPr>
        <w:t>Las reorganizaciones empresarias libre de impuestos.</w:t>
      </w:r>
    </w:p>
    <w:p w14:paraId="68C6CB16" w14:textId="77777777" w:rsidR="007D700C" w:rsidRPr="00592C47" w:rsidRDefault="007D700C" w:rsidP="00592C47">
      <w:pPr>
        <w:ind w:firstLine="708"/>
        <w:jc w:val="both"/>
        <w:rPr>
          <w:rFonts w:ascii="Arial" w:hAnsi="Arial" w:cs="Arial"/>
          <w:sz w:val="24"/>
          <w:szCs w:val="24"/>
          <w:lang w:val="es-ES"/>
        </w:rPr>
      </w:pPr>
      <w:r>
        <w:rPr>
          <w:rFonts w:ascii="Arial" w:hAnsi="Arial" w:cs="Arial"/>
          <w:sz w:val="24"/>
          <w:szCs w:val="24"/>
          <w:lang w:val="es-ES"/>
        </w:rPr>
        <w:t xml:space="preserve">6.2.2. </w:t>
      </w:r>
      <w:r w:rsidRPr="00592C47">
        <w:rPr>
          <w:rFonts w:ascii="Arial" w:hAnsi="Arial" w:cs="Arial"/>
          <w:sz w:val="24"/>
          <w:szCs w:val="24"/>
          <w:lang w:val="es-ES"/>
        </w:rPr>
        <w:t xml:space="preserve">Traslación según el sujeto generador del quebranto. </w:t>
      </w:r>
    </w:p>
    <w:p w14:paraId="4102C9DD" w14:textId="2306FDBA" w:rsidR="00AB6A5D" w:rsidRDefault="00AB6A5D" w:rsidP="003C69AF">
      <w:pPr>
        <w:rPr>
          <w:rFonts w:ascii="Arial" w:hAnsi="Arial" w:cs="Arial"/>
          <w:sz w:val="24"/>
          <w:szCs w:val="24"/>
          <w:lang w:val="es-ES"/>
        </w:rPr>
      </w:pPr>
    </w:p>
    <w:p w14:paraId="638CB49A" w14:textId="0DFAA25B" w:rsidR="003C69AF" w:rsidRPr="003C69AF" w:rsidRDefault="000B6B88" w:rsidP="003C69AF">
      <w:pPr>
        <w:rPr>
          <w:rFonts w:ascii="Arial" w:hAnsi="Arial" w:cs="Arial"/>
          <w:sz w:val="24"/>
          <w:szCs w:val="24"/>
          <w:lang w:val="es-ES"/>
        </w:rPr>
      </w:pPr>
      <w:r>
        <w:rPr>
          <w:rFonts w:ascii="Arial" w:hAnsi="Arial" w:cs="Arial"/>
          <w:sz w:val="24"/>
          <w:szCs w:val="24"/>
          <w:lang w:val="es-ES"/>
        </w:rPr>
        <w:t>7</w:t>
      </w:r>
      <w:r w:rsidR="003C69AF" w:rsidRPr="003C69AF">
        <w:rPr>
          <w:rFonts w:ascii="Arial" w:hAnsi="Arial" w:cs="Arial"/>
          <w:sz w:val="24"/>
          <w:szCs w:val="24"/>
          <w:lang w:val="es-ES"/>
        </w:rPr>
        <w:t xml:space="preserve">. Los quebrantos fiscales en la legislación tributaria internacional </w:t>
      </w:r>
    </w:p>
    <w:p w14:paraId="017EB9C0" w14:textId="53208045" w:rsidR="00B2639A" w:rsidRDefault="00B2639A">
      <w:pPr>
        <w:spacing w:after="160" w:line="259" w:lineRule="auto"/>
        <w:rPr>
          <w:rFonts w:ascii="Arial" w:hAnsi="Arial" w:cs="Arial"/>
          <w:b/>
          <w:bCs/>
          <w:sz w:val="24"/>
          <w:szCs w:val="24"/>
          <w:lang w:val="es-ES"/>
        </w:rPr>
      </w:pPr>
      <w:r>
        <w:rPr>
          <w:rFonts w:ascii="Arial" w:hAnsi="Arial" w:cs="Arial"/>
          <w:b/>
          <w:bCs/>
          <w:sz w:val="24"/>
          <w:szCs w:val="24"/>
          <w:lang w:val="es-ES"/>
        </w:rPr>
        <w:br w:type="page"/>
      </w:r>
    </w:p>
    <w:p w14:paraId="610F5F55" w14:textId="77777777" w:rsidR="003C02AB" w:rsidRDefault="00B2639A" w:rsidP="00B2639A">
      <w:pPr>
        <w:jc w:val="center"/>
        <w:rPr>
          <w:rFonts w:ascii="Arial" w:hAnsi="Arial" w:cs="Arial"/>
          <w:b/>
          <w:bCs/>
          <w:sz w:val="24"/>
          <w:szCs w:val="24"/>
          <w:u w:val="single"/>
          <w:lang w:val="es-ES"/>
        </w:rPr>
      </w:pPr>
      <w:r w:rsidRPr="006444BE">
        <w:rPr>
          <w:rFonts w:ascii="Arial" w:hAnsi="Arial" w:cs="Arial"/>
          <w:b/>
          <w:bCs/>
          <w:sz w:val="24"/>
          <w:szCs w:val="24"/>
          <w:u w:val="single"/>
          <w:lang w:val="es-ES"/>
        </w:rPr>
        <w:lastRenderedPageBreak/>
        <w:t>R</w:t>
      </w:r>
      <w:r w:rsidR="003033F2">
        <w:rPr>
          <w:rFonts w:ascii="Arial" w:hAnsi="Arial" w:cs="Arial"/>
          <w:b/>
          <w:bCs/>
          <w:sz w:val="24"/>
          <w:szCs w:val="24"/>
          <w:u w:val="single"/>
          <w:lang w:val="es-ES"/>
        </w:rPr>
        <w:t>ESUMEN</w:t>
      </w:r>
    </w:p>
    <w:p w14:paraId="0CFBCC09" w14:textId="25C91EE4" w:rsidR="003C02AB" w:rsidRDefault="003C02AB" w:rsidP="00B2639A">
      <w:pPr>
        <w:jc w:val="center"/>
        <w:rPr>
          <w:rFonts w:ascii="Arial" w:hAnsi="Arial" w:cs="Arial"/>
          <w:b/>
          <w:bCs/>
          <w:sz w:val="24"/>
          <w:szCs w:val="24"/>
          <w:u w:val="single"/>
          <w:lang w:val="es-ES"/>
        </w:rPr>
      </w:pPr>
    </w:p>
    <w:p w14:paraId="20E5B301" w14:textId="2FB2D098" w:rsidR="003C69AF" w:rsidRPr="003C02AB" w:rsidRDefault="003033F2" w:rsidP="00B2639A">
      <w:pPr>
        <w:jc w:val="center"/>
        <w:rPr>
          <w:rFonts w:ascii="Arial" w:hAnsi="Arial" w:cs="Arial"/>
          <w:sz w:val="24"/>
          <w:szCs w:val="24"/>
          <w:lang w:val="es-ES"/>
        </w:rPr>
      </w:pPr>
      <w:r w:rsidRPr="003C02AB">
        <w:rPr>
          <w:rFonts w:ascii="Arial" w:hAnsi="Arial" w:cs="Arial"/>
          <w:sz w:val="24"/>
          <w:szCs w:val="24"/>
          <w:lang w:val="es-ES"/>
        </w:rPr>
        <w:t>LOS QUEBRANTOS FISCALES Y SUS IMPLICANCIAS EN LA TOMA DE DECISIONES.</w:t>
      </w:r>
    </w:p>
    <w:p w14:paraId="053EFAD8" w14:textId="091E82F5" w:rsidR="00B2639A" w:rsidRDefault="00B2639A" w:rsidP="00B2639A">
      <w:pPr>
        <w:jc w:val="both"/>
        <w:rPr>
          <w:rFonts w:ascii="Arial" w:hAnsi="Arial" w:cs="Arial"/>
          <w:sz w:val="24"/>
          <w:szCs w:val="24"/>
          <w:lang w:val="es-ES"/>
        </w:rPr>
      </w:pPr>
    </w:p>
    <w:p w14:paraId="1F112C5A" w14:textId="48D19EF7" w:rsidR="00B2639A" w:rsidRPr="006444BE" w:rsidRDefault="00B2639A" w:rsidP="00B2639A">
      <w:pPr>
        <w:jc w:val="both"/>
        <w:rPr>
          <w:rFonts w:ascii="Arial" w:hAnsi="Arial" w:cs="Arial"/>
          <w:sz w:val="24"/>
          <w:szCs w:val="24"/>
          <w:u w:val="single"/>
          <w:lang w:val="es-ES"/>
        </w:rPr>
      </w:pPr>
      <w:r w:rsidRPr="006444BE">
        <w:rPr>
          <w:rFonts w:ascii="Arial" w:hAnsi="Arial" w:cs="Arial"/>
          <w:sz w:val="24"/>
          <w:szCs w:val="24"/>
          <w:u w:val="single"/>
          <w:lang w:val="es-ES"/>
        </w:rPr>
        <w:t xml:space="preserve">Quebrantos fiscales. Forma de traslación. </w:t>
      </w:r>
    </w:p>
    <w:p w14:paraId="70DF305D" w14:textId="658939C6" w:rsidR="00B2639A" w:rsidRDefault="00B2639A" w:rsidP="00B2639A">
      <w:pPr>
        <w:jc w:val="both"/>
        <w:rPr>
          <w:rFonts w:ascii="Arial" w:hAnsi="Arial" w:cs="Arial"/>
          <w:sz w:val="24"/>
          <w:szCs w:val="24"/>
          <w:lang w:val="es-ES"/>
        </w:rPr>
      </w:pPr>
    </w:p>
    <w:p w14:paraId="34573D8E" w14:textId="72E8585B" w:rsidR="006444BE" w:rsidRDefault="006444BE" w:rsidP="006444BE">
      <w:pPr>
        <w:jc w:val="both"/>
        <w:rPr>
          <w:rFonts w:ascii="Arial" w:hAnsi="Arial" w:cs="Arial"/>
          <w:sz w:val="24"/>
          <w:szCs w:val="24"/>
          <w:lang w:val="es-ES"/>
        </w:rPr>
      </w:pPr>
      <w:r w:rsidRPr="00203017">
        <w:rPr>
          <w:rFonts w:ascii="Arial" w:hAnsi="Arial" w:cs="Arial"/>
          <w:sz w:val="24"/>
          <w:szCs w:val="24"/>
          <w:lang w:val="es-ES"/>
        </w:rPr>
        <w:t xml:space="preserve">En el art. 25 de la </w:t>
      </w:r>
      <w:r>
        <w:rPr>
          <w:rFonts w:ascii="Arial" w:hAnsi="Arial" w:cs="Arial"/>
          <w:sz w:val="24"/>
          <w:szCs w:val="24"/>
          <w:lang w:val="es-ES"/>
        </w:rPr>
        <w:t>Ley de Impuesto a las Ganancias (“</w:t>
      </w:r>
      <w:r w:rsidRPr="00F650AF">
        <w:rPr>
          <w:rFonts w:ascii="Arial" w:hAnsi="Arial" w:cs="Arial"/>
          <w:sz w:val="24"/>
          <w:szCs w:val="24"/>
          <w:u w:val="single"/>
          <w:lang w:val="es-ES"/>
        </w:rPr>
        <w:t>LIG</w:t>
      </w:r>
      <w:r>
        <w:rPr>
          <w:rFonts w:ascii="Arial" w:hAnsi="Arial" w:cs="Arial"/>
          <w:sz w:val="24"/>
          <w:szCs w:val="24"/>
          <w:lang w:val="es-ES"/>
        </w:rPr>
        <w:t>”)</w:t>
      </w:r>
      <w:r w:rsidRPr="00203017">
        <w:rPr>
          <w:rFonts w:ascii="Arial" w:hAnsi="Arial" w:cs="Arial"/>
          <w:sz w:val="24"/>
          <w:szCs w:val="24"/>
          <w:lang w:val="es-ES"/>
        </w:rPr>
        <w:t xml:space="preserve"> tenemos una definición de los quebrantos fiscales, orden de compensación, límite temporal y sus limitaciones específicas</w:t>
      </w:r>
      <w:r>
        <w:rPr>
          <w:rFonts w:ascii="Arial" w:hAnsi="Arial" w:cs="Arial"/>
          <w:sz w:val="24"/>
          <w:szCs w:val="24"/>
          <w:lang w:val="es-ES"/>
        </w:rPr>
        <w:t>.</w:t>
      </w:r>
      <w:r w:rsidRPr="00203017">
        <w:rPr>
          <w:rFonts w:ascii="Arial" w:hAnsi="Arial" w:cs="Arial"/>
          <w:sz w:val="24"/>
          <w:szCs w:val="24"/>
          <w:lang w:val="es-ES"/>
        </w:rPr>
        <w:t xml:space="preserve"> </w:t>
      </w:r>
      <w:r w:rsidR="0063096F">
        <w:rPr>
          <w:rFonts w:ascii="Arial" w:hAnsi="Arial" w:cs="Arial"/>
          <w:sz w:val="24"/>
          <w:szCs w:val="24"/>
          <w:lang w:val="es-ES"/>
        </w:rPr>
        <w:t xml:space="preserve">El traslado de quebrantos está previsto por el plazo de cinco años para ser compensados contra ganancias futuras. </w:t>
      </w:r>
    </w:p>
    <w:p w14:paraId="3F11A39A" w14:textId="77777777" w:rsidR="00424BF8" w:rsidRPr="00B2639A" w:rsidRDefault="00424BF8" w:rsidP="00B2639A">
      <w:pPr>
        <w:jc w:val="both"/>
        <w:rPr>
          <w:rFonts w:ascii="Arial" w:hAnsi="Arial" w:cs="Arial"/>
          <w:sz w:val="24"/>
          <w:szCs w:val="24"/>
          <w:lang w:val="es-ES"/>
        </w:rPr>
      </w:pPr>
    </w:p>
    <w:p w14:paraId="3D4F5E6A" w14:textId="77777777" w:rsidR="00B2639A" w:rsidRPr="006444BE" w:rsidRDefault="00B2639A" w:rsidP="00B2639A">
      <w:pPr>
        <w:jc w:val="both"/>
        <w:rPr>
          <w:rFonts w:ascii="Arial" w:hAnsi="Arial" w:cs="Arial"/>
          <w:sz w:val="24"/>
          <w:szCs w:val="24"/>
          <w:u w:val="single"/>
          <w:lang w:val="es-ES"/>
        </w:rPr>
      </w:pPr>
      <w:r w:rsidRPr="006444BE">
        <w:rPr>
          <w:rFonts w:ascii="Arial" w:hAnsi="Arial" w:cs="Arial"/>
          <w:sz w:val="24"/>
          <w:szCs w:val="24"/>
          <w:u w:val="single"/>
          <w:lang w:val="es-ES"/>
        </w:rPr>
        <w:t>Quebrantos generales y específicos. Antecedentes y realidad operativa</w:t>
      </w:r>
    </w:p>
    <w:p w14:paraId="28E5E173" w14:textId="56929950" w:rsidR="00B2639A" w:rsidRDefault="00B2639A" w:rsidP="00B2639A">
      <w:pPr>
        <w:jc w:val="both"/>
        <w:rPr>
          <w:rFonts w:ascii="Arial" w:hAnsi="Arial" w:cs="Arial"/>
          <w:sz w:val="24"/>
          <w:szCs w:val="24"/>
          <w:lang w:val="es-ES"/>
        </w:rPr>
      </w:pPr>
    </w:p>
    <w:p w14:paraId="51106E73" w14:textId="7F356273" w:rsidR="0063096F" w:rsidRDefault="0063096F" w:rsidP="00B2639A">
      <w:pPr>
        <w:jc w:val="both"/>
        <w:rPr>
          <w:rFonts w:ascii="Arial" w:hAnsi="Arial" w:cs="Arial"/>
          <w:sz w:val="24"/>
          <w:szCs w:val="24"/>
          <w:lang w:val="es-ES"/>
        </w:rPr>
      </w:pPr>
      <w:r>
        <w:rPr>
          <w:rFonts w:ascii="Arial" w:hAnsi="Arial" w:cs="Arial"/>
          <w:sz w:val="24"/>
          <w:szCs w:val="24"/>
          <w:lang w:val="es-ES"/>
        </w:rPr>
        <w:t xml:space="preserve">La LIG </w:t>
      </w:r>
      <w:r w:rsidR="00D04253">
        <w:rPr>
          <w:rFonts w:ascii="Arial" w:hAnsi="Arial" w:cs="Arial"/>
          <w:sz w:val="24"/>
          <w:szCs w:val="24"/>
          <w:lang w:val="es-ES"/>
        </w:rPr>
        <w:t xml:space="preserve">establece un régimen de limitación en la forma de compensación de quebrantos denominados quebrantos específicos. Ciertos quebrantos sólo pueden utilizarse para compensar ganancias determinadas por ciertas fuentes u operaciones. </w:t>
      </w:r>
      <w:r w:rsidR="00C40198">
        <w:rPr>
          <w:rFonts w:ascii="Arial" w:hAnsi="Arial" w:cs="Arial"/>
          <w:sz w:val="24"/>
          <w:szCs w:val="24"/>
          <w:lang w:val="es-ES"/>
        </w:rPr>
        <w:t>A las observaciones que generan</w:t>
      </w:r>
      <w:r w:rsidR="003033F2">
        <w:rPr>
          <w:rFonts w:ascii="Arial" w:hAnsi="Arial" w:cs="Arial"/>
          <w:sz w:val="24"/>
          <w:szCs w:val="24"/>
          <w:lang w:val="es-ES"/>
        </w:rPr>
        <w:t xml:space="preserve"> los quebrantos </w:t>
      </w:r>
      <w:r w:rsidR="003C02AB">
        <w:rPr>
          <w:rFonts w:ascii="Arial" w:hAnsi="Arial" w:cs="Arial"/>
          <w:sz w:val="24"/>
          <w:szCs w:val="24"/>
          <w:lang w:val="es-ES"/>
        </w:rPr>
        <w:t>específicos</w:t>
      </w:r>
      <w:r w:rsidR="00C40198">
        <w:rPr>
          <w:rFonts w:ascii="Arial" w:hAnsi="Arial" w:cs="Arial"/>
          <w:sz w:val="24"/>
          <w:szCs w:val="24"/>
          <w:lang w:val="es-ES"/>
        </w:rPr>
        <w:t xml:space="preserve">, por alterar la real medida de la capacidad contributiva del contribuyente, </w:t>
      </w:r>
      <w:r w:rsidR="003033F2">
        <w:rPr>
          <w:rFonts w:ascii="Arial" w:hAnsi="Arial" w:cs="Arial"/>
          <w:sz w:val="24"/>
          <w:szCs w:val="24"/>
          <w:lang w:val="es-ES"/>
        </w:rPr>
        <w:t xml:space="preserve">en ciertos casos la realidad económica demuestra que serían </w:t>
      </w:r>
      <w:r w:rsidR="006F4319">
        <w:rPr>
          <w:rFonts w:ascii="Arial" w:hAnsi="Arial" w:cs="Arial"/>
          <w:sz w:val="24"/>
          <w:szCs w:val="24"/>
          <w:lang w:val="es-ES"/>
        </w:rPr>
        <w:t xml:space="preserve">quebrantos operativos </w:t>
      </w:r>
      <w:r w:rsidR="00C40198">
        <w:rPr>
          <w:rFonts w:ascii="Arial" w:hAnsi="Arial" w:cs="Arial"/>
          <w:sz w:val="24"/>
          <w:szCs w:val="24"/>
          <w:lang w:val="es-ES"/>
        </w:rPr>
        <w:t>deducibles inherentes al giro</w:t>
      </w:r>
      <w:r w:rsidR="003033F2">
        <w:rPr>
          <w:rFonts w:ascii="Arial" w:hAnsi="Arial" w:cs="Arial"/>
          <w:sz w:val="24"/>
          <w:szCs w:val="24"/>
          <w:lang w:val="es-ES"/>
        </w:rPr>
        <w:t xml:space="preserve"> normal</w:t>
      </w:r>
      <w:r w:rsidR="00C40198">
        <w:rPr>
          <w:rFonts w:ascii="Arial" w:hAnsi="Arial" w:cs="Arial"/>
          <w:sz w:val="24"/>
          <w:szCs w:val="24"/>
          <w:lang w:val="es-ES"/>
        </w:rPr>
        <w:t xml:space="preserve"> del negocio</w:t>
      </w:r>
      <w:r w:rsidR="006F4319">
        <w:rPr>
          <w:rFonts w:ascii="Arial" w:hAnsi="Arial" w:cs="Arial"/>
          <w:sz w:val="24"/>
          <w:szCs w:val="24"/>
          <w:lang w:val="es-ES"/>
        </w:rPr>
        <w:t>.</w:t>
      </w:r>
    </w:p>
    <w:p w14:paraId="5CBF48F2" w14:textId="77777777" w:rsidR="00B2639A" w:rsidRPr="00B2639A" w:rsidRDefault="00B2639A" w:rsidP="00B2639A">
      <w:pPr>
        <w:jc w:val="both"/>
        <w:rPr>
          <w:rFonts w:ascii="Arial" w:hAnsi="Arial" w:cs="Arial"/>
          <w:sz w:val="24"/>
          <w:szCs w:val="24"/>
          <w:lang w:val="es-ES"/>
        </w:rPr>
      </w:pPr>
    </w:p>
    <w:p w14:paraId="1606C38F" w14:textId="77777777" w:rsidR="00B2639A" w:rsidRPr="006444BE" w:rsidRDefault="00B2639A" w:rsidP="00B2639A">
      <w:pPr>
        <w:jc w:val="both"/>
        <w:rPr>
          <w:rFonts w:ascii="Arial" w:hAnsi="Arial" w:cs="Arial"/>
          <w:sz w:val="24"/>
          <w:szCs w:val="24"/>
          <w:u w:val="single"/>
          <w:lang w:val="es-ES"/>
        </w:rPr>
      </w:pPr>
      <w:r w:rsidRPr="006444BE">
        <w:rPr>
          <w:rFonts w:ascii="Arial" w:hAnsi="Arial" w:cs="Arial"/>
          <w:sz w:val="24"/>
          <w:szCs w:val="24"/>
          <w:u w:val="single"/>
          <w:lang w:val="es-ES"/>
        </w:rPr>
        <w:t>Quebrantos actualizables. Normativa. Alcance de la actualización, sistema integral.</w:t>
      </w:r>
    </w:p>
    <w:p w14:paraId="1C890311" w14:textId="24931432" w:rsidR="00B2639A" w:rsidRDefault="00B2639A" w:rsidP="00B2639A">
      <w:pPr>
        <w:jc w:val="both"/>
        <w:rPr>
          <w:rFonts w:ascii="Arial" w:hAnsi="Arial" w:cs="Arial"/>
          <w:sz w:val="24"/>
          <w:szCs w:val="24"/>
          <w:lang w:val="es-ES"/>
        </w:rPr>
      </w:pPr>
    </w:p>
    <w:p w14:paraId="4CF3B2BD" w14:textId="77777777" w:rsidR="006F4319" w:rsidRDefault="00D3323D" w:rsidP="00D3323D">
      <w:pPr>
        <w:jc w:val="both"/>
        <w:rPr>
          <w:rFonts w:ascii="Arial" w:hAnsi="Arial" w:cs="Arial"/>
          <w:sz w:val="24"/>
          <w:szCs w:val="24"/>
          <w:lang w:val="es-ES"/>
        </w:rPr>
      </w:pPr>
      <w:r>
        <w:rPr>
          <w:rFonts w:ascii="Arial" w:hAnsi="Arial" w:cs="Arial"/>
          <w:sz w:val="24"/>
          <w:szCs w:val="24"/>
          <w:lang w:val="es-ES"/>
        </w:rPr>
        <w:t xml:space="preserve">Las Leyes N° </w:t>
      </w:r>
      <w:r w:rsidRPr="00E120B0">
        <w:rPr>
          <w:rFonts w:ascii="Arial" w:hAnsi="Arial" w:cs="Arial"/>
          <w:sz w:val="24"/>
          <w:szCs w:val="24"/>
          <w:lang w:val="es-ES"/>
        </w:rPr>
        <w:t>27.430</w:t>
      </w:r>
      <w:r>
        <w:rPr>
          <w:rFonts w:ascii="Arial" w:hAnsi="Arial" w:cs="Arial"/>
          <w:sz w:val="24"/>
          <w:szCs w:val="24"/>
          <w:lang w:val="es-ES"/>
        </w:rPr>
        <w:t xml:space="preserve"> y N° </w:t>
      </w:r>
      <w:r w:rsidRPr="00D3323D">
        <w:rPr>
          <w:rFonts w:ascii="Arial" w:hAnsi="Arial" w:cs="Arial"/>
          <w:sz w:val="24"/>
          <w:szCs w:val="24"/>
          <w:lang w:val="es-ES"/>
        </w:rPr>
        <w:t>27468</w:t>
      </w:r>
      <w:r>
        <w:rPr>
          <w:rFonts w:ascii="Arial" w:hAnsi="Arial" w:cs="Arial"/>
          <w:sz w:val="24"/>
          <w:szCs w:val="24"/>
          <w:lang w:val="es-ES"/>
        </w:rPr>
        <w:t xml:space="preserve"> han modificado la LIG respecto de las normas sobre </w:t>
      </w:r>
      <w:r w:rsidR="00424BF8">
        <w:rPr>
          <w:rFonts w:ascii="Arial" w:hAnsi="Arial" w:cs="Arial"/>
          <w:sz w:val="24"/>
          <w:szCs w:val="24"/>
          <w:lang w:val="es-ES"/>
        </w:rPr>
        <w:t xml:space="preserve">ajuste por inflación, actualización de quebrantos y costos. </w:t>
      </w:r>
      <w:r w:rsidRPr="00E120B0">
        <w:rPr>
          <w:rFonts w:ascii="Arial" w:hAnsi="Arial" w:cs="Arial"/>
          <w:sz w:val="24"/>
          <w:szCs w:val="24"/>
          <w:lang w:val="es-ES"/>
        </w:rPr>
        <w:t>Esta normativa ha dado a distintas posturas doctrinarias sobre la actualización de los quebrantos: a) nunca estuvo restringida la actualización de los quebrantos por la Ley N° 24.073, b) los quebrantos son actualizables en virtud de la Ley N° 27.430. Dentro de esta segunda alternativa i) son actualizables todos los quebrantos no prescriptos desde la vigencia de esa norma, o ii) son actualizables los quebrantos que se generen a partir de la fecha de entrada en vigencia de la mencionada norma (período iniciado a partir del 01/01/2018), y c) no está admitida la actualización de los quebrantos ya que el primer párrafo del artículo 89 establece que como norma general que las actualizaciones previstas en la LIG se practicarán conforme lo establecido en el artículo 39 de la Ley N° 24.073.</w:t>
      </w:r>
      <w:r w:rsidR="00424BF8">
        <w:rPr>
          <w:rFonts w:ascii="Arial" w:hAnsi="Arial" w:cs="Arial"/>
          <w:sz w:val="24"/>
          <w:szCs w:val="24"/>
          <w:lang w:val="es-ES"/>
        </w:rPr>
        <w:t xml:space="preserve"> Sería conveniente tener precisiones sobre este punto. </w:t>
      </w:r>
    </w:p>
    <w:p w14:paraId="3AC50E02" w14:textId="77777777" w:rsidR="006F4319" w:rsidRDefault="006F4319" w:rsidP="00D3323D">
      <w:pPr>
        <w:jc w:val="both"/>
        <w:rPr>
          <w:rFonts w:ascii="Arial" w:hAnsi="Arial" w:cs="Arial"/>
          <w:sz w:val="24"/>
          <w:szCs w:val="24"/>
          <w:lang w:val="es-ES"/>
        </w:rPr>
      </w:pPr>
    </w:p>
    <w:p w14:paraId="5107BA82" w14:textId="787B71EE" w:rsidR="00D3323D" w:rsidRPr="00E120B0" w:rsidRDefault="006F4319" w:rsidP="00D3323D">
      <w:pPr>
        <w:jc w:val="both"/>
        <w:rPr>
          <w:rFonts w:ascii="Arial" w:hAnsi="Arial" w:cs="Arial"/>
          <w:sz w:val="24"/>
          <w:szCs w:val="24"/>
          <w:lang w:val="es-ES"/>
        </w:rPr>
      </w:pPr>
      <w:r>
        <w:rPr>
          <w:rFonts w:ascii="Arial" w:hAnsi="Arial" w:cs="Arial"/>
          <w:sz w:val="24"/>
          <w:szCs w:val="24"/>
          <w:lang w:val="es-ES"/>
        </w:rPr>
        <w:t>Entendemos que el planteo de un ajuste de los quebrantos fiscales debe implementarse en forma conjunta con el ajuste integral previsto en la LIG y de todas sus partidas susceptibles de ajuste.</w:t>
      </w:r>
      <w:r w:rsidRPr="006F4319">
        <w:t xml:space="preserve"> </w:t>
      </w:r>
      <w:r w:rsidR="003C02AB">
        <w:rPr>
          <w:rFonts w:ascii="Arial" w:hAnsi="Arial" w:cs="Arial"/>
          <w:sz w:val="24"/>
          <w:szCs w:val="24"/>
          <w:lang w:val="es-ES"/>
        </w:rPr>
        <w:t>D</w:t>
      </w:r>
      <w:r w:rsidRPr="006F4319">
        <w:rPr>
          <w:rFonts w:ascii="Arial" w:hAnsi="Arial" w:cs="Arial"/>
          <w:sz w:val="24"/>
          <w:szCs w:val="24"/>
          <w:lang w:val="es-ES"/>
        </w:rPr>
        <w:t xml:space="preserve">e acuerdo con el principio de capacidad contributiva </w:t>
      </w:r>
      <w:r w:rsidR="003033F2">
        <w:rPr>
          <w:rFonts w:ascii="Arial" w:hAnsi="Arial" w:cs="Arial"/>
          <w:sz w:val="24"/>
          <w:szCs w:val="24"/>
          <w:lang w:val="es-ES"/>
        </w:rPr>
        <w:t xml:space="preserve">real del contribuyente </w:t>
      </w:r>
      <w:r w:rsidR="003C02AB">
        <w:rPr>
          <w:rFonts w:ascii="Arial" w:hAnsi="Arial" w:cs="Arial"/>
          <w:sz w:val="24"/>
          <w:szCs w:val="24"/>
          <w:lang w:val="es-ES"/>
        </w:rPr>
        <w:t xml:space="preserve">sería razonable </w:t>
      </w:r>
      <w:r w:rsidRPr="006F4319">
        <w:rPr>
          <w:rFonts w:ascii="Arial" w:hAnsi="Arial" w:cs="Arial"/>
          <w:sz w:val="24"/>
          <w:szCs w:val="24"/>
          <w:lang w:val="es-ES"/>
        </w:rPr>
        <w:t xml:space="preserve">plantear el ajuste de los quebrantos acumulados y </w:t>
      </w:r>
      <w:r w:rsidR="003C02AB">
        <w:rPr>
          <w:rFonts w:ascii="Arial" w:hAnsi="Arial" w:cs="Arial"/>
          <w:sz w:val="24"/>
          <w:szCs w:val="24"/>
          <w:lang w:val="es-ES"/>
        </w:rPr>
        <w:t>en conjunto con</w:t>
      </w:r>
      <w:r w:rsidRPr="006F4319">
        <w:rPr>
          <w:rFonts w:ascii="Arial" w:hAnsi="Arial" w:cs="Arial"/>
          <w:sz w:val="24"/>
          <w:szCs w:val="24"/>
          <w:lang w:val="es-ES"/>
        </w:rPr>
        <w:t xml:space="preserve"> un ajuste integral positivo (ganancia) del periodo.</w:t>
      </w:r>
    </w:p>
    <w:p w14:paraId="07E35795" w14:textId="77777777" w:rsidR="00B2639A" w:rsidRPr="00B2639A" w:rsidRDefault="00B2639A" w:rsidP="00B2639A">
      <w:pPr>
        <w:jc w:val="both"/>
        <w:rPr>
          <w:rFonts w:ascii="Arial" w:hAnsi="Arial" w:cs="Arial"/>
          <w:sz w:val="24"/>
          <w:szCs w:val="24"/>
          <w:lang w:val="es-ES"/>
        </w:rPr>
      </w:pPr>
    </w:p>
    <w:p w14:paraId="4F476CE8" w14:textId="77777777" w:rsidR="00B2639A" w:rsidRPr="006444BE" w:rsidRDefault="00B2639A" w:rsidP="00B2639A">
      <w:pPr>
        <w:jc w:val="both"/>
        <w:rPr>
          <w:rFonts w:ascii="Arial" w:hAnsi="Arial" w:cs="Arial"/>
          <w:sz w:val="24"/>
          <w:szCs w:val="24"/>
          <w:u w:val="single"/>
          <w:lang w:val="es-ES"/>
        </w:rPr>
      </w:pPr>
      <w:r w:rsidRPr="006444BE">
        <w:rPr>
          <w:rFonts w:ascii="Arial" w:hAnsi="Arial" w:cs="Arial"/>
          <w:sz w:val="24"/>
          <w:szCs w:val="24"/>
          <w:u w:val="single"/>
          <w:lang w:val="es-ES"/>
        </w:rPr>
        <w:t>Quebranto total. Quebrantos subyacentes diferidos. Actualización</w:t>
      </w:r>
    </w:p>
    <w:p w14:paraId="0229CFEF" w14:textId="29EBA974" w:rsidR="00B2639A" w:rsidRDefault="00B2639A" w:rsidP="00B2639A">
      <w:pPr>
        <w:jc w:val="both"/>
        <w:rPr>
          <w:rFonts w:ascii="Arial" w:hAnsi="Arial" w:cs="Arial"/>
          <w:sz w:val="24"/>
          <w:szCs w:val="24"/>
          <w:lang w:val="es-ES"/>
        </w:rPr>
      </w:pPr>
    </w:p>
    <w:p w14:paraId="6C23867F" w14:textId="6AE74308" w:rsidR="009334EB" w:rsidRDefault="003F7BC0" w:rsidP="009334EB">
      <w:pPr>
        <w:jc w:val="both"/>
        <w:rPr>
          <w:rFonts w:ascii="Arial" w:hAnsi="Arial" w:cs="Arial"/>
          <w:sz w:val="24"/>
          <w:szCs w:val="24"/>
          <w:lang w:val="es-ES"/>
        </w:rPr>
      </w:pPr>
      <w:r>
        <w:rPr>
          <w:rFonts w:ascii="Arial" w:hAnsi="Arial" w:cs="Arial"/>
          <w:sz w:val="24"/>
          <w:szCs w:val="24"/>
          <w:lang w:val="es-ES"/>
        </w:rPr>
        <w:t xml:space="preserve">La </w:t>
      </w:r>
      <w:r w:rsidR="009334EB" w:rsidRPr="00465E82">
        <w:rPr>
          <w:rFonts w:ascii="Arial" w:hAnsi="Arial" w:cs="Arial"/>
          <w:sz w:val="24"/>
          <w:szCs w:val="24"/>
          <w:lang w:val="es-ES"/>
        </w:rPr>
        <w:t>Ley 27.541 estableció que el ajuste por inflación positivo o negativo, según sea el caso,</w:t>
      </w:r>
      <w:r w:rsidR="009334EB">
        <w:rPr>
          <w:rFonts w:ascii="Arial" w:hAnsi="Arial" w:cs="Arial"/>
          <w:sz w:val="24"/>
          <w:szCs w:val="24"/>
          <w:lang w:val="es-ES"/>
        </w:rPr>
        <w:t xml:space="preserve"> </w:t>
      </w:r>
      <w:r w:rsidR="009334EB" w:rsidRPr="00F650AF">
        <w:rPr>
          <w:rFonts w:ascii="Arial" w:hAnsi="Arial" w:cs="Arial"/>
          <w:sz w:val="24"/>
          <w:szCs w:val="24"/>
          <w:lang w:val="es-ES"/>
        </w:rPr>
        <w:t xml:space="preserve">que se deba calcular en virtud de verificarse los supuestos previstos </w:t>
      </w:r>
      <w:r w:rsidR="009334EB" w:rsidRPr="00F650AF">
        <w:rPr>
          <w:rFonts w:ascii="Arial" w:hAnsi="Arial" w:cs="Arial"/>
          <w:sz w:val="24"/>
          <w:szCs w:val="24"/>
          <w:lang w:val="es-ES"/>
        </w:rPr>
        <w:lastRenderedPageBreak/>
        <w:t>en los dos (2) últimos párrafos del artículo 106,</w:t>
      </w:r>
      <w:r w:rsidR="009334EB" w:rsidRPr="00465E82">
        <w:rPr>
          <w:rFonts w:ascii="Arial" w:hAnsi="Arial" w:cs="Arial"/>
          <w:sz w:val="24"/>
          <w:szCs w:val="24"/>
          <w:lang w:val="es-ES"/>
        </w:rPr>
        <w:t xml:space="preserve"> correspondiente a los ejercicios primero y segundo iniciados a partir del 01/01/2019</w:t>
      </w:r>
      <w:r w:rsidR="009334EB">
        <w:rPr>
          <w:rFonts w:ascii="Arial" w:hAnsi="Arial" w:cs="Arial"/>
          <w:sz w:val="24"/>
          <w:szCs w:val="24"/>
          <w:lang w:val="es-ES"/>
        </w:rPr>
        <w:t xml:space="preserve"> se debía</w:t>
      </w:r>
      <w:r w:rsidR="009334EB" w:rsidRPr="00465E82">
        <w:rPr>
          <w:rFonts w:ascii="Arial" w:hAnsi="Arial" w:cs="Arial"/>
          <w:sz w:val="24"/>
          <w:szCs w:val="24"/>
          <w:lang w:val="es-ES"/>
        </w:rPr>
        <w:t xml:space="preserve"> </w:t>
      </w:r>
      <w:r w:rsidR="009334EB">
        <w:rPr>
          <w:rFonts w:ascii="Arial" w:hAnsi="Arial" w:cs="Arial"/>
          <w:sz w:val="24"/>
          <w:szCs w:val="24"/>
          <w:lang w:val="es-ES"/>
        </w:rPr>
        <w:t>imputar</w:t>
      </w:r>
      <w:r w:rsidR="009334EB" w:rsidRPr="00465E82">
        <w:rPr>
          <w:rFonts w:ascii="Arial" w:hAnsi="Arial" w:cs="Arial"/>
          <w:sz w:val="24"/>
          <w:szCs w:val="24"/>
          <w:lang w:val="es-ES"/>
        </w:rPr>
        <w:t xml:space="preserve"> 1/6 en dicho período fiscal y los 5/6 restantes, en partes iguales, en los 5 períodos fiscales inmediatos siguientes. Se man</w:t>
      </w:r>
      <w:r w:rsidR="009334EB">
        <w:rPr>
          <w:rFonts w:ascii="Arial" w:hAnsi="Arial" w:cs="Arial"/>
          <w:sz w:val="24"/>
          <w:szCs w:val="24"/>
          <w:lang w:val="es-ES"/>
        </w:rPr>
        <w:t>tuvo</w:t>
      </w:r>
      <w:r w:rsidR="009334EB" w:rsidRPr="00465E82">
        <w:rPr>
          <w:rFonts w:ascii="Arial" w:hAnsi="Arial" w:cs="Arial"/>
          <w:sz w:val="24"/>
          <w:szCs w:val="24"/>
          <w:lang w:val="es-ES"/>
        </w:rPr>
        <w:t xml:space="preserve"> el cómputo de los tercios remanentes de la aplicación de la ley 27.468.</w:t>
      </w:r>
      <w:r w:rsidR="009334EB">
        <w:rPr>
          <w:rFonts w:ascii="Arial" w:hAnsi="Arial" w:cs="Arial"/>
          <w:sz w:val="24"/>
          <w:szCs w:val="24"/>
          <w:lang w:val="es-ES"/>
        </w:rPr>
        <w:t xml:space="preserve"> En ningún caso las cuotas diferidas tienen previsto algún mecanismo de ajuste a moneda constante.</w:t>
      </w:r>
    </w:p>
    <w:p w14:paraId="5F1F4519" w14:textId="77777777" w:rsidR="009334EB" w:rsidRDefault="009334EB" w:rsidP="009334EB">
      <w:pPr>
        <w:jc w:val="both"/>
        <w:rPr>
          <w:rFonts w:ascii="Arial" w:hAnsi="Arial" w:cs="Arial"/>
          <w:sz w:val="24"/>
          <w:szCs w:val="24"/>
          <w:lang w:val="es-ES"/>
        </w:rPr>
      </w:pPr>
    </w:p>
    <w:p w14:paraId="6352C389" w14:textId="3C91874D" w:rsidR="009334EB" w:rsidRDefault="009334EB" w:rsidP="009334EB">
      <w:pPr>
        <w:jc w:val="both"/>
        <w:rPr>
          <w:rFonts w:ascii="Arial" w:hAnsi="Arial" w:cs="Arial"/>
          <w:sz w:val="24"/>
          <w:szCs w:val="24"/>
          <w:lang w:val="es-ES"/>
        </w:rPr>
      </w:pPr>
      <w:r>
        <w:rPr>
          <w:rFonts w:ascii="Arial" w:hAnsi="Arial" w:cs="Arial"/>
          <w:sz w:val="24"/>
          <w:szCs w:val="24"/>
          <w:lang w:val="es-ES"/>
        </w:rPr>
        <w:t xml:space="preserve">Los cargos financieros -intereses y diferencia de cambio del principal- de deudas financiera con sujetos vinculados -residentes o no residentes-, tienen una limitación de deducción. El importe no deducible se puede computar en el futuro con un límite temporal de 5 años. Ante la existencia de importantes cargos financieros, al incluir las diferencias de cambio originada por las devaluaciones, el quebranto diferido puede tener una magnitud que es sujeto a una desvalorización significativa, pues no está prevista su imputación futura a moneda constante. </w:t>
      </w:r>
    </w:p>
    <w:p w14:paraId="2E9DF5EF" w14:textId="77777777" w:rsidR="009334EB" w:rsidRDefault="009334EB" w:rsidP="009334EB">
      <w:pPr>
        <w:jc w:val="both"/>
        <w:rPr>
          <w:rFonts w:ascii="Arial" w:hAnsi="Arial" w:cs="Arial"/>
          <w:sz w:val="24"/>
          <w:szCs w:val="24"/>
          <w:lang w:val="es-ES"/>
        </w:rPr>
      </w:pPr>
    </w:p>
    <w:p w14:paraId="191ABA86" w14:textId="77777777" w:rsidR="00B2639A" w:rsidRPr="006444BE" w:rsidRDefault="00B2639A" w:rsidP="00B2639A">
      <w:pPr>
        <w:jc w:val="both"/>
        <w:rPr>
          <w:rFonts w:ascii="Arial" w:hAnsi="Arial" w:cs="Arial"/>
          <w:sz w:val="24"/>
          <w:szCs w:val="24"/>
          <w:u w:val="single"/>
          <w:lang w:val="es-ES"/>
        </w:rPr>
      </w:pPr>
      <w:r w:rsidRPr="006444BE">
        <w:rPr>
          <w:rFonts w:ascii="Arial" w:hAnsi="Arial" w:cs="Arial"/>
          <w:sz w:val="24"/>
          <w:szCs w:val="24"/>
          <w:u w:val="single"/>
          <w:lang w:val="es-ES"/>
        </w:rPr>
        <w:t>Quebrantos. Opciones legales. Determinación y transferibilidad a terceros.</w:t>
      </w:r>
    </w:p>
    <w:p w14:paraId="31727116" w14:textId="4B0AEE4B" w:rsidR="00B2639A" w:rsidRDefault="00B2639A" w:rsidP="00B2639A">
      <w:pPr>
        <w:jc w:val="both"/>
        <w:rPr>
          <w:rFonts w:ascii="Arial" w:hAnsi="Arial" w:cs="Arial"/>
          <w:sz w:val="24"/>
          <w:szCs w:val="24"/>
          <w:lang w:val="es-ES"/>
        </w:rPr>
      </w:pPr>
    </w:p>
    <w:p w14:paraId="7D64940D" w14:textId="34B72BB5" w:rsidR="006444BE" w:rsidRDefault="003F7BC0" w:rsidP="00B2639A">
      <w:pPr>
        <w:jc w:val="both"/>
        <w:rPr>
          <w:rFonts w:ascii="Arial" w:hAnsi="Arial" w:cs="Arial"/>
          <w:sz w:val="24"/>
          <w:szCs w:val="24"/>
          <w:lang w:val="es-ES"/>
        </w:rPr>
      </w:pPr>
      <w:r w:rsidRPr="00203017">
        <w:rPr>
          <w:rFonts w:ascii="Arial" w:hAnsi="Arial" w:cs="Arial"/>
          <w:sz w:val="24"/>
          <w:szCs w:val="24"/>
          <w:lang w:val="es-ES"/>
        </w:rPr>
        <w:t xml:space="preserve">Los quebrantos fiscales </w:t>
      </w:r>
      <w:r>
        <w:rPr>
          <w:rFonts w:ascii="Arial" w:hAnsi="Arial" w:cs="Arial"/>
          <w:sz w:val="24"/>
          <w:szCs w:val="24"/>
          <w:lang w:val="es-ES"/>
        </w:rPr>
        <w:t xml:space="preserve">conforme la ley </w:t>
      </w:r>
      <w:r w:rsidRPr="00203017">
        <w:rPr>
          <w:rFonts w:ascii="Arial" w:hAnsi="Arial" w:cs="Arial"/>
          <w:sz w:val="24"/>
          <w:szCs w:val="24"/>
          <w:lang w:val="es-ES"/>
        </w:rPr>
        <w:t>son intransferibles, salvo: i) respectos de las personas humanas, con el fallecimiento se traslada a la sucesión indivisa, al cónyuge y los herederos, ii) para las personas jurídicas, está prevista en los casos de reorganizaciones (fusiones, escisiones y transferencias) que cumplan con ciertos requisitos de titularidad accionaria en los dos años anteriores a la fecha de reorganización de las sociedades reorganizadas</w:t>
      </w:r>
      <w:r>
        <w:rPr>
          <w:rFonts w:ascii="Arial" w:hAnsi="Arial" w:cs="Arial"/>
          <w:sz w:val="24"/>
          <w:szCs w:val="24"/>
          <w:lang w:val="es-ES"/>
        </w:rPr>
        <w:t xml:space="preserve">. Lo que requiere el análisis de estos requisitos. </w:t>
      </w:r>
    </w:p>
    <w:p w14:paraId="72149571" w14:textId="1AB61653" w:rsidR="006F4319" w:rsidRDefault="006F4319" w:rsidP="00B2639A">
      <w:pPr>
        <w:jc w:val="both"/>
        <w:rPr>
          <w:rFonts w:ascii="Arial" w:hAnsi="Arial" w:cs="Arial"/>
          <w:sz w:val="24"/>
          <w:szCs w:val="24"/>
          <w:lang w:val="es-ES"/>
        </w:rPr>
      </w:pPr>
    </w:p>
    <w:p w14:paraId="568334CF" w14:textId="0C22A0DE" w:rsidR="006F4319" w:rsidRDefault="006F4319" w:rsidP="00B2639A">
      <w:pPr>
        <w:jc w:val="both"/>
        <w:rPr>
          <w:rFonts w:ascii="Arial" w:hAnsi="Arial" w:cs="Arial"/>
          <w:sz w:val="24"/>
          <w:szCs w:val="24"/>
          <w:lang w:val="es-ES"/>
        </w:rPr>
      </w:pPr>
      <w:r>
        <w:rPr>
          <w:rFonts w:ascii="Arial" w:hAnsi="Arial" w:cs="Arial"/>
          <w:sz w:val="24"/>
          <w:szCs w:val="24"/>
          <w:lang w:val="es-ES"/>
        </w:rPr>
        <w:t>Asimismo, se analizan las opciones legales que permiten tomar decisiones en materia de quebrantos, en cuanto a su determinación (v.g.: gastos de organización</w:t>
      </w:r>
      <w:r w:rsidR="003033F2">
        <w:rPr>
          <w:rFonts w:ascii="Arial" w:hAnsi="Arial" w:cs="Arial"/>
          <w:sz w:val="24"/>
          <w:szCs w:val="24"/>
          <w:lang w:val="es-ES"/>
        </w:rPr>
        <w:t>) y en cuanto a su transferibilidad a  terceros – a nivel internacional o nacional - de acuerdo a la estructura o forma jurídica adoptada por el contribuyente.</w:t>
      </w:r>
    </w:p>
    <w:p w14:paraId="7BE07F0A" w14:textId="77777777" w:rsidR="00B2639A" w:rsidRPr="00B2639A" w:rsidRDefault="00B2639A" w:rsidP="00B2639A">
      <w:pPr>
        <w:jc w:val="both"/>
        <w:rPr>
          <w:rFonts w:ascii="Arial" w:hAnsi="Arial" w:cs="Arial"/>
          <w:sz w:val="24"/>
          <w:szCs w:val="24"/>
          <w:lang w:val="es-ES"/>
        </w:rPr>
      </w:pPr>
    </w:p>
    <w:p w14:paraId="0E6931A3" w14:textId="77777777" w:rsidR="00B2639A" w:rsidRPr="006444BE" w:rsidRDefault="00B2639A" w:rsidP="00B2639A">
      <w:pPr>
        <w:jc w:val="both"/>
        <w:rPr>
          <w:rFonts w:ascii="Arial" w:hAnsi="Arial" w:cs="Arial"/>
          <w:sz w:val="24"/>
          <w:szCs w:val="24"/>
          <w:u w:val="single"/>
          <w:lang w:val="es-ES"/>
        </w:rPr>
      </w:pPr>
      <w:r w:rsidRPr="006444BE">
        <w:rPr>
          <w:rFonts w:ascii="Arial" w:hAnsi="Arial" w:cs="Arial"/>
          <w:sz w:val="24"/>
          <w:szCs w:val="24"/>
          <w:u w:val="single"/>
          <w:lang w:val="es-ES"/>
        </w:rPr>
        <w:t>Quebrantos fiscales. Experiencias internacionales. Aspectos pendientes a incorporar.</w:t>
      </w:r>
    </w:p>
    <w:p w14:paraId="5B6C8B7E" w14:textId="35240ABE" w:rsidR="00B2639A" w:rsidRDefault="00B2639A" w:rsidP="00B2639A">
      <w:pPr>
        <w:jc w:val="both"/>
        <w:rPr>
          <w:rFonts w:ascii="Arial" w:hAnsi="Arial" w:cs="Arial"/>
          <w:sz w:val="24"/>
          <w:szCs w:val="24"/>
          <w:lang w:val="es-ES"/>
        </w:rPr>
      </w:pPr>
    </w:p>
    <w:p w14:paraId="381062FE" w14:textId="6B166D9F" w:rsidR="006444BE" w:rsidRDefault="006444BE" w:rsidP="006444BE">
      <w:pPr>
        <w:jc w:val="both"/>
        <w:rPr>
          <w:rFonts w:ascii="Arial" w:hAnsi="Arial" w:cs="Arial"/>
          <w:sz w:val="24"/>
          <w:szCs w:val="24"/>
          <w:lang w:val="es-ES"/>
        </w:rPr>
      </w:pPr>
      <w:r>
        <w:rPr>
          <w:rFonts w:ascii="Arial" w:hAnsi="Arial" w:cs="Arial"/>
          <w:sz w:val="24"/>
          <w:szCs w:val="24"/>
          <w:lang w:val="es-ES"/>
        </w:rPr>
        <w:t xml:space="preserve">En Latinoamericana, en términos generales, el computo de los quebrantos no tiene límite de plazo, aunque su computo se limita a un porcentaje de la ganancia neta. En general, la posibilidad de obtener un recupero impuestos sobre la base de la traslación hacia atrás de los quebrantos fiscales no es usual en América Latina. </w:t>
      </w:r>
    </w:p>
    <w:p w14:paraId="5678676B" w14:textId="77777777" w:rsidR="006444BE" w:rsidRPr="00B2639A" w:rsidRDefault="006444BE" w:rsidP="006444BE">
      <w:pPr>
        <w:jc w:val="both"/>
        <w:rPr>
          <w:rFonts w:ascii="Arial" w:hAnsi="Arial" w:cs="Arial"/>
          <w:sz w:val="24"/>
          <w:szCs w:val="24"/>
          <w:lang w:val="es-ES"/>
        </w:rPr>
      </w:pPr>
    </w:p>
    <w:p w14:paraId="61C5B9C4" w14:textId="36005CC1" w:rsidR="006444BE" w:rsidRDefault="006444BE" w:rsidP="006444BE">
      <w:pPr>
        <w:jc w:val="both"/>
        <w:rPr>
          <w:rFonts w:ascii="Arial" w:hAnsi="Arial" w:cs="Arial"/>
          <w:sz w:val="24"/>
          <w:szCs w:val="24"/>
          <w:lang w:val="es-ES"/>
        </w:rPr>
      </w:pPr>
      <w:r>
        <w:rPr>
          <w:rFonts w:ascii="Arial" w:hAnsi="Arial" w:cs="Arial"/>
          <w:sz w:val="24"/>
          <w:szCs w:val="24"/>
          <w:lang w:val="es-ES"/>
        </w:rPr>
        <w:t xml:space="preserve">En el grupo de países </w:t>
      </w:r>
      <w:r w:rsidR="00C40198">
        <w:rPr>
          <w:rFonts w:ascii="Arial" w:hAnsi="Arial" w:cs="Arial"/>
          <w:sz w:val="24"/>
          <w:szCs w:val="24"/>
          <w:lang w:val="es-ES"/>
        </w:rPr>
        <w:t>considerados</w:t>
      </w:r>
      <w:r>
        <w:rPr>
          <w:rFonts w:ascii="Arial" w:hAnsi="Arial" w:cs="Arial"/>
          <w:sz w:val="24"/>
          <w:szCs w:val="24"/>
          <w:lang w:val="es-ES"/>
        </w:rPr>
        <w:t>, ajenos al área latinoamericana, se confirma en términos generales el computo de los quebrantos sin límite de plazo – en algunos casos porcentajes razonables de afectación contra ganancias futuras – y los más interesante, la posibilidad acotada de obtener un recupero de impuestos sobre la base de la traslación hacia atrás de los quebrantos fiscales. El recupero de impuestos por el traslado de quebrantos hacia atrás se han ampliado o implementado frente a los perjuicios derivados de la pandemia Covid-19.</w:t>
      </w:r>
    </w:p>
    <w:p w14:paraId="222A7C59" w14:textId="20DF9A31" w:rsidR="00D93EC8" w:rsidRDefault="00D93EC8">
      <w:pPr>
        <w:spacing w:after="160" w:line="259" w:lineRule="auto"/>
        <w:rPr>
          <w:rFonts w:ascii="Arial" w:hAnsi="Arial" w:cs="Arial"/>
          <w:sz w:val="24"/>
          <w:szCs w:val="24"/>
          <w:lang w:val="es-ES"/>
        </w:rPr>
      </w:pPr>
      <w:r>
        <w:rPr>
          <w:rFonts w:ascii="Arial" w:hAnsi="Arial" w:cs="Arial"/>
          <w:sz w:val="24"/>
          <w:szCs w:val="24"/>
          <w:lang w:val="es-ES"/>
        </w:rPr>
        <w:br w:type="page"/>
      </w:r>
    </w:p>
    <w:p w14:paraId="5EAA3137" w14:textId="77777777" w:rsidR="00C33C16" w:rsidRDefault="00C33C16" w:rsidP="00C33C16">
      <w:pPr>
        <w:rPr>
          <w:rFonts w:ascii="Arial" w:hAnsi="Arial" w:cs="Arial"/>
          <w:b/>
          <w:bCs/>
          <w:sz w:val="24"/>
          <w:szCs w:val="24"/>
          <w:u w:val="single"/>
          <w:lang w:val="es-ES"/>
        </w:rPr>
      </w:pPr>
    </w:p>
    <w:p w14:paraId="107F18D0" w14:textId="71415D17" w:rsidR="00C33C16" w:rsidRPr="00FA46F8" w:rsidRDefault="00C33C16" w:rsidP="00C33C16">
      <w:pPr>
        <w:rPr>
          <w:rFonts w:ascii="Arial" w:hAnsi="Arial" w:cs="Arial"/>
          <w:b/>
          <w:bCs/>
          <w:sz w:val="24"/>
          <w:szCs w:val="24"/>
          <w:u w:val="single"/>
          <w:lang w:val="es-ES"/>
        </w:rPr>
      </w:pPr>
      <w:r w:rsidRPr="00C33C16">
        <w:rPr>
          <w:rFonts w:ascii="Arial" w:hAnsi="Arial" w:cs="Arial"/>
          <w:b/>
          <w:bCs/>
          <w:sz w:val="24"/>
          <w:szCs w:val="24"/>
          <w:u w:val="single"/>
          <w:lang w:val="es-ES"/>
        </w:rPr>
        <w:t>LOS QUEBRANTOS FISCALES Y SUS IMPLICANCIAS EN LA TOMA DE DECISIONES.</w:t>
      </w:r>
    </w:p>
    <w:p w14:paraId="2E3C8DB6" w14:textId="77777777" w:rsidR="003C69AF" w:rsidRDefault="003C69AF" w:rsidP="00CA60AF">
      <w:pPr>
        <w:jc w:val="both"/>
        <w:rPr>
          <w:rFonts w:ascii="Arial" w:hAnsi="Arial" w:cs="Arial"/>
          <w:sz w:val="24"/>
          <w:szCs w:val="24"/>
          <w:lang w:val="es-ES"/>
        </w:rPr>
      </w:pPr>
    </w:p>
    <w:p w14:paraId="7A75B8A3" w14:textId="4DADC5CA" w:rsidR="00C33C16" w:rsidRPr="00C33C16" w:rsidRDefault="00C33C16" w:rsidP="003C69AF">
      <w:pPr>
        <w:jc w:val="both"/>
        <w:rPr>
          <w:rFonts w:ascii="Arial" w:hAnsi="Arial" w:cs="Arial"/>
          <w:sz w:val="24"/>
          <w:szCs w:val="24"/>
          <w:lang w:val="es-ES"/>
        </w:rPr>
      </w:pPr>
      <w:r w:rsidRPr="00C33C16">
        <w:rPr>
          <w:rFonts w:ascii="Arial" w:hAnsi="Arial" w:cs="Arial"/>
          <w:sz w:val="24"/>
          <w:szCs w:val="24"/>
          <w:lang w:val="es-ES"/>
        </w:rPr>
        <w:t>Dr. Angel F. Pereira / Dr. Fernando M. Vaquero</w:t>
      </w:r>
    </w:p>
    <w:p w14:paraId="1E89A390" w14:textId="77777777" w:rsidR="00C33C16" w:rsidRDefault="00C33C16" w:rsidP="003C69AF">
      <w:pPr>
        <w:jc w:val="both"/>
        <w:rPr>
          <w:rFonts w:ascii="Arial" w:hAnsi="Arial" w:cs="Arial"/>
          <w:b/>
          <w:bCs/>
          <w:sz w:val="24"/>
          <w:szCs w:val="24"/>
          <w:u w:val="single"/>
          <w:lang w:val="es-ES"/>
        </w:rPr>
      </w:pPr>
    </w:p>
    <w:p w14:paraId="51673B6D" w14:textId="01B0E60A" w:rsidR="00FA46F8" w:rsidRPr="003C69AF" w:rsidRDefault="003C69AF" w:rsidP="003C69AF">
      <w:pPr>
        <w:jc w:val="both"/>
        <w:rPr>
          <w:rFonts w:ascii="Arial" w:hAnsi="Arial" w:cs="Arial"/>
          <w:b/>
          <w:bCs/>
          <w:sz w:val="24"/>
          <w:szCs w:val="24"/>
          <w:u w:val="single"/>
          <w:lang w:val="es-ES"/>
        </w:rPr>
      </w:pPr>
      <w:r>
        <w:rPr>
          <w:rFonts w:ascii="Arial" w:hAnsi="Arial" w:cs="Arial"/>
          <w:b/>
          <w:bCs/>
          <w:sz w:val="24"/>
          <w:szCs w:val="24"/>
          <w:u w:val="single"/>
          <w:lang w:val="es-ES"/>
        </w:rPr>
        <w:t xml:space="preserve">1. </w:t>
      </w:r>
      <w:r w:rsidR="00FA46F8" w:rsidRPr="003C69AF">
        <w:rPr>
          <w:rFonts w:ascii="Arial" w:hAnsi="Arial" w:cs="Arial"/>
          <w:b/>
          <w:bCs/>
          <w:sz w:val="24"/>
          <w:szCs w:val="24"/>
          <w:u w:val="single"/>
          <w:lang w:val="es-ES"/>
        </w:rPr>
        <w:t xml:space="preserve">Introducción </w:t>
      </w:r>
    </w:p>
    <w:p w14:paraId="178C7F6C" w14:textId="77777777" w:rsidR="0094540F" w:rsidRPr="00203017" w:rsidRDefault="0094540F" w:rsidP="00CA60AF">
      <w:pPr>
        <w:jc w:val="both"/>
        <w:rPr>
          <w:rFonts w:ascii="Arial" w:hAnsi="Arial" w:cs="Arial"/>
          <w:sz w:val="24"/>
          <w:szCs w:val="24"/>
          <w:lang w:val="es-ES"/>
        </w:rPr>
      </w:pPr>
    </w:p>
    <w:p w14:paraId="6A785E63" w14:textId="77777777" w:rsidR="00D648A7" w:rsidRDefault="0094540F" w:rsidP="00CA60AF">
      <w:pPr>
        <w:jc w:val="both"/>
        <w:rPr>
          <w:rFonts w:ascii="Arial" w:hAnsi="Arial" w:cs="Arial"/>
          <w:sz w:val="24"/>
          <w:szCs w:val="24"/>
          <w:lang w:val="es-ES"/>
        </w:rPr>
      </w:pPr>
      <w:r w:rsidRPr="00203017">
        <w:rPr>
          <w:rFonts w:ascii="Arial" w:hAnsi="Arial" w:cs="Arial"/>
          <w:sz w:val="24"/>
          <w:szCs w:val="24"/>
          <w:lang w:val="es-ES"/>
        </w:rPr>
        <w:t>Los recursos del estado tienen como elemento esencial a los</w:t>
      </w:r>
      <w:r w:rsidR="00D648A7">
        <w:rPr>
          <w:rFonts w:ascii="Arial" w:hAnsi="Arial" w:cs="Arial"/>
          <w:sz w:val="24"/>
          <w:szCs w:val="24"/>
          <w:lang w:val="es-ES"/>
        </w:rPr>
        <w:t xml:space="preserve"> </w:t>
      </w:r>
      <w:r w:rsidRPr="00203017">
        <w:rPr>
          <w:rFonts w:ascii="Arial" w:hAnsi="Arial" w:cs="Arial"/>
          <w:sz w:val="24"/>
          <w:szCs w:val="24"/>
          <w:lang w:val="es-ES"/>
        </w:rPr>
        <w:t xml:space="preserve">tributos que alcanzan distintas manifestaciones de capacidad contributiva. </w:t>
      </w:r>
    </w:p>
    <w:p w14:paraId="28E54875" w14:textId="77777777" w:rsidR="00D648A7" w:rsidRDefault="00D648A7" w:rsidP="00CA60AF">
      <w:pPr>
        <w:jc w:val="both"/>
        <w:rPr>
          <w:rFonts w:ascii="Arial" w:hAnsi="Arial" w:cs="Arial"/>
          <w:sz w:val="24"/>
          <w:szCs w:val="24"/>
          <w:lang w:val="es-ES"/>
        </w:rPr>
      </w:pPr>
    </w:p>
    <w:p w14:paraId="3BD70FA8" w14:textId="22B3613D" w:rsidR="00D648A7" w:rsidRDefault="005357D4" w:rsidP="00CA60AF">
      <w:pPr>
        <w:jc w:val="both"/>
        <w:rPr>
          <w:rFonts w:ascii="Arial" w:hAnsi="Arial" w:cs="Arial"/>
          <w:sz w:val="24"/>
          <w:szCs w:val="24"/>
          <w:lang w:val="es-ES"/>
        </w:rPr>
      </w:pPr>
      <w:r w:rsidRPr="00203017">
        <w:rPr>
          <w:rFonts w:ascii="Arial" w:hAnsi="Arial" w:cs="Arial"/>
          <w:sz w:val="24"/>
          <w:szCs w:val="24"/>
          <w:lang w:val="es-ES"/>
        </w:rPr>
        <w:t>Con relación a</w:t>
      </w:r>
      <w:r w:rsidR="0094540F" w:rsidRPr="00203017">
        <w:rPr>
          <w:rFonts w:ascii="Arial" w:hAnsi="Arial" w:cs="Arial"/>
          <w:sz w:val="24"/>
          <w:szCs w:val="24"/>
          <w:lang w:val="es-ES"/>
        </w:rPr>
        <w:t xml:space="preserve"> la capacidad contributiva en base a la renta, su determinación requiere una definición temporal, conformando hechos imponibles instantáneos o hechos imponibles de ejercicio. </w:t>
      </w:r>
    </w:p>
    <w:p w14:paraId="10124EB6" w14:textId="77777777" w:rsidR="00D648A7" w:rsidRDefault="00D648A7" w:rsidP="00CA60AF">
      <w:pPr>
        <w:jc w:val="both"/>
        <w:rPr>
          <w:rFonts w:ascii="Arial" w:hAnsi="Arial" w:cs="Arial"/>
          <w:sz w:val="24"/>
          <w:szCs w:val="24"/>
          <w:lang w:val="es-ES"/>
        </w:rPr>
      </w:pPr>
    </w:p>
    <w:p w14:paraId="04011E71" w14:textId="572CD4DF" w:rsidR="0094540F" w:rsidRPr="00203017" w:rsidRDefault="0094540F" w:rsidP="00CA60AF">
      <w:pPr>
        <w:jc w:val="both"/>
        <w:rPr>
          <w:rFonts w:ascii="Arial" w:hAnsi="Arial" w:cs="Arial"/>
          <w:sz w:val="24"/>
          <w:szCs w:val="24"/>
          <w:lang w:val="es-ES"/>
        </w:rPr>
      </w:pPr>
      <w:r w:rsidRPr="00203017">
        <w:rPr>
          <w:rFonts w:ascii="Arial" w:hAnsi="Arial" w:cs="Arial"/>
          <w:sz w:val="24"/>
          <w:szCs w:val="24"/>
          <w:lang w:val="es-ES"/>
        </w:rPr>
        <w:t>La definición de un lapso -ejercicio- o la utilización de hechos instantáneos que presci</w:t>
      </w:r>
      <w:r w:rsidR="00FA46F8">
        <w:rPr>
          <w:rFonts w:ascii="Arial" w:hAnsi="Arial" w:cs="Arial"/>
          <w:sz w:val="24"/>
          <w:szCs w:val="24"/>
          <w:lang w:val="es-ES"/>
        </w:rPr>
        <w:t>n</w:t>
      </w:r>
      <w:r w:rsidRPr="00203017">
        <w:rPr>
          <w:rFonts w:ascii="Arial" w:hAnsi="Arial" w:cs="Arial"/>
          <w:sz w:val="24"/>
          <w:szCs w:val="24"/>
          <w:lang w:val="es-ES"/>
        </w:rPr>
        <w:t>den del resultado de</w:t>
      </w:r>
      <w:r w:rsidR="00FA46F8">
        <w:rPr>
          <w:rFonts w:ascii="Arial" w:hAnsi="Arial" w:cs="Arial"/>
          <w:sz w:val="24"/>
          <w:szCs w:val="24"/>
          <w:lang w:val="es-ES"/>
        </w:rPr>
        <w:t xml:space="preserve">rivado de </w:t>
      </w:r>
      <w:r w:rsidRPr="00203017">
        <w:rPr>
          <w:rFonts w:ascii="Arial" w:hAnsi="Arial" w:cs="Arial"/>
          <w:sz w:val="24"/>
          <w:szCs w:val="24"/>
          <w:lang w:val="es-ES"/>
        </w:rPr>
        <w:t>la disparidad de distintas operaciones, deterioran el cumplimiento de principios de equidad e igualdad en la determinación de la capacidad contributiva. En tal sentido,</w:t>
      </w:r>
      <w:r w:rsidR="00FA46F8">
        <w:rPr>
          <w:rFonts w:ascii="Arial" w:hAnsi="Arial" w:cs="Arial"/>
          <w:sz w:val="24"/>
          <w:szCs w:val="24"/>
          <w:lang w:val="es-ES"/>
        </w:rPr>
        <w:t xml:space="preserve"> para atenuar sus efectos, el</w:t>
      </w:r>
      <w:r w:rsidRPr="00203017">
        <w:rPr>
          <w:rFonts w:ascii="Arial" w:hAnsi="Arial" w:cs="Arial"/>
          <w:sz w:val="24"/>
          <w:szCs w:val="24"/>
          <w:lang w:val="es-ES"/>
        </w:rPr>
        <w:t xml:space="preserve"> hecho imponible se amplía al incorporar la variable quebrantos fiscales en la determinación de la obligación tributaria.</w:t>
      </w:r>
    </w:p>
    <w:p w14:paraId="39F97E1D" w14:textId="0F51EC9E" w:rsidR="0094540F" w:rsidRDefault="0094540F" w:rsidP="00CA60AF">
      <w:pPr>
        <w:jc w:val="both"/>
        <w:rPr>
          <w:rFonts w:ascii="Arial" w:hAnsi="Arial" w:cs="Arial"/>
          <w:sz w:val="24"/>
          <w:szCs w:val="24"/>
          <w:lang w:val="es-ES"/>
        </w:rPr>
      </w:pPr>
    </w:p>
    <w:p w14:paraId="54EF1083" w14:textId="5AADFB50" w:rsidR="00C43B94" w:rsidRDefault="0049300F" w:rsidP="00CA60AF">
      <w:pPr>
        <w:jc w:val="both"/>
        <w:rPr>
          <w:rFonts w:ascii="Arial" w:hAnsi="Arial" w:cs="Arial"/>
          <w:sz w:val="24"/>
          <w:szCs w:val="24"/>
          <w:lang w:val="es-ES"/>
        </w:rPr>
      </w:pPr>
      <w:r>
        <w:rPr>
          <w:rFonts w:ascii="Arial" w:hAnsi="Arial" w:cs="Arial"/>
          <w:sz w:val="24"/>
          <w:szCs w:val="24"/>
          <w:lang w:val="es-ES"/>
        </w:rPr>
        <w:t>Se ha entendido que “e</w:t>
      </w:r>
      <w:r w:rsidRPr="0000389B">
        <w:rPr>
          <w:rFonts w:ascii="Arial" w:hAnsi="Arial" w:cs="Arial"/>
          <w:sz w:val="24"/>
          <w:szCs w:val="24"/>
          <w:lang w:val="es-ES"/>
        </w:rPr>
        <w:t>l quebranto</w:t>
      </w:r>
      <w:r>
        <w:rPr>
          <w:rFonts w:ascii="Arial" w:hAnsi="Arial" w:cs="Arial"/>
          <w:sz w:val="24"/>
          <w:szCs w:val="24"/>
          <w:lang w:val="es-ES"/>
        </w:rPr>
        <w:t>…e</w:t>
      </w:r>
      <w:r w:rsidRPr="0000389B">
        <w:rPr>
          <w:rFonts w:ascii="Arial" w:hAnsi="Arial" w:cs="Arial"/>
          <w:sz w:val="24"/>
          <w:szCs w:val="24"/>
          <w:lang w:val="es-ES"/>
        </w:rPr>
        <w:t>s el resultado negativo en el giro económico de una persona física o ideal, registrado al cierre de un ejercicio, y que, por cierto, debe ponderarse a la luz de los anteriores y los posteriores; porque el giro económico, al margen de las conveniencias contables, no se fracciona arbitrariamente, y el resultado negativo de un lapso puede enjugarse con el positivo de otro</w:t>
      </w:r>
      <w:r>
        <w:rPr>
          <w:rFonts w:ascii="Arial" w:hAnsi="Arial" w:cs="Arial"/>
          <w:sz w:val="24"/>
          <w:szCs w:val="24"/>
          <w:lang w:val="es-ES"/>
        </w:rPr>
        <w:t>”</w:t>
      </w:r>
      <w:r w:rsidR="00C43B94">
        <w:rPr>
          <w:rStyle w:val="Refdenotaalfinal"/>
          <w:rFonts w:ascii="Arial" w:hAnsi="Arial" w:cs="Arial"/>
          <w:sz w:val="24"/>
          <w:szCs w:val="24"/>
          <w:lang w:val="es-ES"/>
        </w:rPr>
        <w:endnoteReference w:id="1"/>
      </w:r>
      <w:r w:rsidR="00C43B94">
        <w:rPr>
          <w:rFonts w:ascii="Arial" w:hAnsi="Arial" w:cs="Arial"/>
          <w:sz w:val="24"/>
          <w:szCs w:val="24"/>
          <w:lang w:val="es-ES"/>
        </w:rPr>
        <w:t>.</w:t>
      </w:r>
    </w:p>
    <w:p w14:paraId="03AABAD4" w14:textId="77777777" w:rsidR="00C43B94" w:rsidRPr="00203017" w:rsidRDefault="00C43B94" w:rsidP="00CA60AF">
      <w:pPr>
        <w:jc w:val="both"/>
        <w:rPr>
          <w:rFonts w:ascii="Arial" w:hAnsi="Arial" w:cs="Arial"/>
          <w:sz w:val="24"/>
          <w:szCs w:val="24"/>
          <w:lang w:val="es-ES"/>
        </w:rPr>
      </w:pPr>
    </w:p>
    <w:p w14:paraId="3367E6B1" w14:textId="6824C289" w:rsidR="00C43B94" w:rsidRDefault="00C43B94" w:rsidP="00CA60AF">
      <w:pPr>
        <w:jc w:val="both"/>
        <w:rPr>
          <w:rFonts w:ascii="Arial" w:hAnsi="Arial" w:cs="Arial"/>
          <w:sz w:val="24"/>
          <w:szCs w:val="24"/>
          <w:lang w:val="es-ES"/>
        </w:rPr>
      </w:pPr>
      <w:r w:rsidRPr="00203017">
        <w:rPr>
          <w:rFonts w:ascii="Arial" w:hAnsi="Arial" w:cs="Arial"/>
          <w:sz w:val="24"/>
          <w:szCs w:val="24"/>
          <w:lang w:val="es-ES"/>
        </w:rPr>
        <w:t xml:space="preserve">En nuestro país, </w:t>
      </w:r>
      <w:r>
        <w:rPr>
          <w:rFonts w:ascii="Arial" w:hAnsi="Arial" w:cs="Arial"/>
          <w:sz w:val="24"/>
          <w:szCs w:val="24"/>
          <w:lang w:val="es-ES"/>
        </w:rPr>
        <w:t>en el i</w:t>
      </w:r>
      <w:r w:rsidRPr="00203017">
        <w:rPr>
          <w:rFonts w:ascii="Arial" w:hAnsi="Arial" w:cs="Arial"/>
          <w:sz w:val="24"/>
          <w:szCs w:val="24"/>
          <w:lang w:val="es-ES"/>
        </w:rPr>
        <w:t>mpuesto a las ganancias los quebrantos de un periodo fiscal generan una expectativa de deducción -menor pago de impuestos- con relación a ejercicios futuros. La realidad histórica, refleja que un potencial menor pago de impuestos es contrario a los objetivos recaudatorios, y la posibilidad de deducción se ha visto limitada en distintas formas, reduciendo los años de traslación, suspensiones temporales, límites de compensación con ganancias del ejercicio, y suspensión de la necesaria actualización monetaria.</w:t>
      </w:r>
    </w:p>
    <w:p w14:paraId="6547F6E1" w14:textId="14D71246" w:rsidR="00C43B94" w:rsidRDefault="00C43B94" w:rsidP="00CA60AF">
      <w:pPr>
        <w:jc w:val="both"/>
        <w:rPr>
          <w:rFonts w:ascii="Arial" w:hAnsi="Arial" w:cs="Arial"/>
          <w:sz w:val="24"/>
          <w:szCs w:val="24"/>
          <w:lang w:val="es-ES"/>
        </w:rPr>
      </w:pPr>
    </w:p>
    <w:p w14:paraId="08A88077" w14:textId="3A734EF3" w:rsidR="00C43B94" w:rsidRDefault="00C43B94" w:rsidP="00CA60AF">
      <w:pPr>
        <w:jc w:val="both"/>
        <w:rPr>
          <w:rFonts w:ascii="Arial" w:hAnsi="Arial" w:cs="Arial"/>
          <w:sz w:val="24"/>
          <w:szCs w:val="24"/>
          <w:lang w:val="es-ES"/>
        </w:rPr>
      </w:pPr>
      <w:r w:rsidRPr="00203017">
        <w:rPr>
          <w:rFonts w:ascii="Arial" w:hAnsi="Arial" w:cs="Arial"/>
          <w:sz w:val="24"/>
          <w:szCs w:val="24"/>
          <w:lang w:val="es-ES"/>
        </w:rPr>
        <w:t xml:space="preserve">El resultado de un ejercicio, en nuestro análisis </w:t>
      </w:r>
      <w:r>
        <w:rPr>
          <w:rFonts w:ascii="Arial" w:hAnsi="Arial" w:cs="Arial"/>
          <w:sz w:val="24"/>
          <w:szCs w:val="24"/>
          <w:lang w:val="es-ES"/>
        </w:rPr>
        <w:t xml:space="preserve">de </w:t>
      </w:r>
      <w:r w:rsidRPr="00203017">
        <w:rPr>
          <w:rFonts w:ascii="Arial" w:hAnsi="Arial" w:cs="Arial"/>
          <w:sz w:val="24"/>
          <w:szCs w:val="24"/>
          <w:lang w:val="es-ES"/>
        </w:rPr>
        <w:t>los quebrantos, se corresponden con la adecuada imputación de ganancias, en donde juegan un rol las opciones que otorga la ley para diferir utilidades o deducciones de gastos o</w:t>
      </w:r>
      <w:r>
        <w:rPr>
          <w:rFonts w:ascii="Arial" w:hAnsi="Arial" w:cs="Arial"/>
          <w:sz w:val="24"/>
          <w:szCs w:val="24"/>
          <w:lang w:val="es-ES"/>
        </w:rPr>
        <w:t xml:space="preserve"> costos computables</w:t>
      </w:r>
      <w:r w:rsidRPr="00203017">
        <w:rPr>
          <w:rFonts w:ascii="Arial" w:hAnsi="Arial" w:cs="Arial"/>
          <w:sz w:val="24"/>
          <w:szCs w:val="24"/>
          <w:lang w:val="es-ES"/>
        </w:rPr>
        <w:t xml:space="preserve">. Dichas variables, son consideradas por los contribuyentes según su situación fiscal, nivel de quebrantos, estimación de tiempo para que el negocio permita computar tales quebrantos, inminente expiración de quebrantos fiscales, conformación de grupos económicos con unidades que tienen ganancias o quebrantos fiscales, etc. </w:t>
      </w:r>
    </w:p>
    <w:p w14:paraId="2F4D4429" w14:textId="77777777" w:rsidR="00C43B94" w:rsidRDefault="00C43B94" w:rsidP="00CA60AF">
      <w:pPr>
        <w:jc w:val="both"/>
        <w:rPr>
          <w:rFonts w:ascii="Arial" w:hAnsi="Arial" w:cs="Arial"/>
          <w:sz w:val="24"/>
          <w:szCs w:val="24"/>
          <w:lang w:val="es-ES"/>
        </w:rPr>
      </w:pPr>
    </w:p>
    <w:p w14:paraId="7B8BD20D" w14:textId="135E4853" w:rsidR="00C43B94" w:rsidRDefault="00C43B94" w:rsidP="00CA60AF">
      <w:pPr>
        <w:jc w:val="both"/>
        <w:rPr>
          <w:rFonts w:ascii="Arial" w:hAnsi="Arial" w:cs="Arial"/>
          <w:sz w:val="24"/>
          <w:szCs w:val="24"/>
          <w:lang w:val="es-ES"/>
        </w:rPr>
      </w:pPr>
      <w:r w:rsidRPr="00203017">
        <w:rPr>
          <w:rFonts w:ascii="Arial" w:hAnsi="Arial" w:cs="Arial"/>
          <w:sz w:val="24"/>
          <w:szCs w:val="24"/>
          <w:lang w:val="es-ES"/>
        </w:rPr>
        <w:t>En definitiva, los quebrantos fiscales de un ejercicio representan un activo para el contribuyente que merece ser objeto de análisis para asegurar su recupero en forma conveniente dentro de las regulaciones fiscales.</w:t>
      </w:r>
    </w:p>
    <w:p w14:paraId="4F4D9E08" w14:textId="77777777" w:rsidR="005D35D4" w:rsidRDefault="005D35D4" w:rsidP="00CA60AF">
      <w:pPr>
        <w:jc w:val="both"/>
        <w:rPr>
          <w:rFonts w:ascii="Arial" w:hAnsi="Arial" w:cs="Arial"/>
          <w:sz w:val="24"/>
          <w:szCs w:val="24"/>
          <w:lang w:val="es-ES"/>
        </w:rPr>
      </w:pPr>
    </w:p>
    <w:p w14:paraId="2936D3FE" w14:textId="7AECFBB2" w:rsidR="00C43B94" w:rsidRPr="00203017" w:rsidRDefault="00C43B94" w:rsidP="00CA60AF">
      <w:pPr>
        <w:jc w:val="both"/>
        <w:rPr>
          <w:rFonts w:ascii="Arial" w:hAnsi="Arial" w:cs="Arial"/>
          <w:sz w:val="24"/>
          <w:szCs w:val="24"/>
          <w:lang w:val="es-ES"/>
        </w:rPr>
      </w:pPr>
      <w:r w:rsidRPr="003C69AF">
        <w:rPr>
          <w:rFonts w:ascii="Arial" w:hAnsi="Arial" w:cs="Arial"/>
          <w:b/>
          <w:bCs/>
          <w:sz w:val="24"/>
          <w:szCs w:val="24"/>
          <w:u w:val="single"/>
          <w:lang w:val="es-ES"/>
        </w:rPr>
        <w:lastRenderedPageBreak/>
        <w:t xml:space="preserve">2. </w:t>
      </w:r>
      <w:r>
        <w:rPr>
          <w:rFonts w:ascii="Arial" w:hAnsi="Arial" w:cs="Arial"/>
          <w:b/>
          <w:bCs/>
          <w:sz w:val="24"/>
          <w:szCs w:val="24"/>
          <w:u w:val="single"/>
          <w:lang w:val="es-ES"/>
        </w:rPr>
        <w:t>Plazo y traslación de quebrantos</w:t>
      </w:r>
    </w:p>
    <w:p w14:paraId="3E06259F" w14:textId="77777777" w:rsidR="00C43B94" w:rsidRPr="00203017" w:rsidRDefault="00C43B94" w:rsidP="00CA60AF">
      <w:pPr>
        <w:jc w:val="both"/>
        <w:rPr>
          <w:rFonts w:ascii="Arial" w:hAnsi="Arial" w:cs="Arial"/>
          <w:sz w:val="24"/>
          <w:szCs w:val="24"/>
          <w:lang w:val="es-ES"/>
        </w:rPr>
      </w:pPr>
    </w:p>
    <w:p w14:paraId="08701E6A" w14:textId="45C48DBF" w:rsidR="00C43B94" w:rsidRDefault="00C43B94" w:rsidP="00CA60AF">
      <w:pPr>
        <w:jc w:val="both"/>
        <w:rPr>
          <w:rFonts w:ascii="Arial" w:hAnsi="Arial" w:cs="Arial"/>
          <w:sz w:val="24"/>
          <w:szCs w:val="24"/>
          <w:lang w:val="es-ES"/>
        </w:rPr>
      </w:pPr>
      <w:r w:rsidRPr="00203017">
        <w:rPr>
          <w:rFonts w:ascii="Arial" w:hAnsi="Arial" w:cs="Arial"/>
          <w:sz w:val="24"/>
          <w:szCs w:val="24"/>
          <w:lang w:val="es-ES"/>
        </w:rPr>
        <w:t xml:space="preserve">En el art. 25 de la </w:t>
      </w:r>
      <w:r>
        <w:rPr>
          <w:rFonts w:ascii="Arial" w:hAnsi="Arial" w:cs="Arial"/>
          <w:sz w:val="24"/>
          <w:szCs w:val="24"/>
          <w:lang w:val="es-ES"/>
        </w:rPr>
        <w:t>Ley de Impuesto a las Ganancias (“</w:t>
      </w:r>
      <w:r w:rsidRPr="00F650AF">
        <w:rPr>
          <w:rFonts w:ascii="Arial" w:hAnsi="Arial" w:cs="Arial"/>
          <w:sz w:val="24"/>
          <w:szCs w:val="24"/>
          <w:u w:val="single"/>
          <w:lang w:val="es-ES"/>
        </w:rPr>
        <w:t>LIG</w:t>
      </w:r>
      <w:r>
        <w:rPr>
          <w:rFonts w:ascii="Arial" w:hAnsi="Arial" w:cs="Arial"/>
          <w:sz w:val="24"/>
          <w:szCs w:val="24"/>
          <w:lang w:val="es-ES"/>
        </w:rPr>
        <w:t>”)</w:t>
      </w:r>
      <w:r w:rsidRPr="00203017">
        <w:rPr>
          <w:rFonts w:ascii="Arial" w:hAnsi="Arial" w:cs="Arial"/>
          <w:sz w:val="24"/>
          <w:szCs w:val="24"/>
          <w:lang w:val="es-ES"/>
        </w:rPr>
        <w:t xml:space="preserve"> tenemos una definición de los quebrantos fiscales, orden de compensación, límite temporal y sus limitaciones específicas</w:t>
      </w:r>
      <w:r>
        <w:rPr>
          <w:rFonts w:ascii="Arial" w:hAnsi="Arial" w:cs="Arial"/>
          <w:sz w:val="24"/>
          <w:szCs w:val="24"/>
          <w:lang w:val="es-ES"/>
        </w:rPr>
        <w:t>.</w:t>
      </w:r>
      <w:r w:rsidRPr="00203017">
        <w:rPr>
          <w:rFonts w:ascii="Arial" w:hAnsi="Arial" w:cs="Arial"/>
          <w:sz w:val="24"/>
          <w:szCs w:val="24"/>
          <w:lang w:val="es-ES"/>
        </w:rPr>
        <w:t xml:space="preserve"> </w:t>
      </w:r>
    </w:p>
    <w:p w14:paraId="7D4488AB" w14:textId="77777777" w:rsidR="00C43B94" w:rsidRDefault="00C43B94" w:rsidP="00CA60AF">
      <w:pPr>
        <w:jc w:val="both"/>
        <w:rPr>
          <w:rFonts w:ascii="Arial" w:hAnsi="Arial" w:cs="Arial"/>
          <w:sz w:val="24"/>
          <w:szCs w:val="24"/>
          <w:lang w:val="es-ES"/>
        </w:rPr>
      </w:pPr>
    </w:p>
    <w:p w14:paraId="0CDE29FE" w14:textId="19720B55" w:rsidR="00C43B94" w:rsidRPr="00203017" w:rsidRDefault="00C43B94" w:rsidP="00CA60AF">
      <w:pPr>
        <w:jc w:val="both"/>
        <w:rPr>
          <w:rFonts w:ascii="Arial" w:hAnsi="Arial" w:cs="Arial"/>
          <w:sz w:val="24"/>
          <w:szCs w:val="24"/>
          <w:lang w:val="es-ES"/>
        </w:rPr>
      </w:pPr>
      <w:r w:rsidRPr="00203017">
        <w:rPr>
          <w:rFonts w:ascii="Arial" w:hAnsi="Arial" w:cs="Arial"/>
          <w:sz w:val="24"/>
          <w:szCs w:val="24"/>
          <w:lang w:val="es-ES"/>
        </w:rPr>
        <w:t>En el caso de muchas empresas que emiten estados contables, la expectativa de computo del quebranto conlleva a un reconocimiento contable como un activo denominado “crédito o activo por impuesto diferido” sin que el mismo signifique un crédito cierto contra la administración fiscal. Refleja</w:t>
      </w:r>
      <w:r>
        <w:rPr>
          <w:rFonts w:ascii="Arial" w:hAnsi="Arial" w:cs="Arial"/>
          <w:sz w:val="24"/>
          <w:szCs w:val="24"/>
          <w:lang w:val="es-ES"/>
        </w:rPr>
        <w:t>n contablemente</w:t>
      </w:r>
      <w:r w:rsidRPr="00203017">
        <w:rPr>
          <w:rFonts w:ascii="Arial" w:hAnsi="Arial" w:cs="Arial"/>
          <w:sz w:val="24"/>
          <w:szCs w:val="24"/>
          <w:lang w:val="es-ES"/>
        </w:rPr>
        <w:t xml:space="preserve"> un activo real en expectativa, transferible a tercero</w:t>
      </w:r>
      <w:r>
        <w:rPr>
          <w:rFonts w:ascii="Arial" w:hAnsi="Arial" w:cs="Arial"/>
          <w:sz w:val="24"/>
          <w:szCs w:val="24"/>
          <w:lang w:val="es-ES"/>
        </w:rPr>
        <w:t>s</w:t>
      </w:r>
      <w:r w:rsidRPr="00203017">
        <w:rPr>
          <w:rFonts w:ascii="Arial" w:hAnsi="Arial" w:cs="Arial"/>
          <w:sz w:val="24"/>
          <w:szCs w:val="24"/>
          <w:lang w:val="es-ES"/>
        </w:rPr>
        <w:t xml:space="preserve"> s</w:t>
      </w:r>
      <w:r>
        <w:rPr>
          <w:rFonts w:ascii="Arial" w:hAnsi="Arial" w:cs="Arial"/>
          <w:sz w:val="24"/>
          <w:szCs w:val="24"/>
          <w:lang w:val="es-ES"/>
        </w:rPr>
        <w:t>ó</w:t>
      </w:r>
      <w:r w:rsidRPr="00203017">
        <w:rPr>
          <w:rFonts w:ascii="Arial" w:hAnsi="Arial" w:cs="Arial"/>
          <w:sz w:val="24"/>
          <w:szCs w:val="24"/>
          <w:lang w:val="es-ES"/>
        </w:rPr>
        <w:t xml:space="preserve">lo bajo ciertas condiciones, cuya medida depende de las estimaciones de ganancias que tenga el sujeto pasivo </w:t>
      </w:r>
      <w:r w:rsidR="00351DC6">
        <w:rPr>
          <w:rFonts w:ascii="Arial" w:hAnsi="Arial" w:cs="Arial"/>
          <w:sz w:val="24"/>
          <w:szCs w:val="24"/>
          <w:lang w:val="es-ES"/>
        </w:rPr>
        <w:t xml:space="preserve">como </w:t>
      </w:r>
      <w:r>
        <w:rPr>
          <w:rFonts w:ascii="Arial" w:hAnsi="Arial" w:cs="Arial"/>
          <w:sz w:val="24"/>
          <w:szCs w:val="24"/>
          <w:lang w:val="es-ES"/>
        </w:rPr>
        <w:t xml:space="preserve">punto base en </w:t>
      </w:r>
      <w:r w:rsidRPr="00203017">
        <w:rPr>
          <w:rFonts w:ascii="Arial" w:hAnsi="Arial" w:cs="Arial"/>
          <w:sz w:val="24"/>
          <w:szCs w:val="24"/>
          <w:lang w:val="es-ES"/>
        </w:rPr>
        <w:t>la necesaria evaluación para potenciar su efectiva y eficiente utilización.</w:t>
      </w:r>
    </w:p>
    <w:p w14:paraId="41FDB7F6" w14:textId="77777777" w:rsidR="00C43B94" w:rsidRPr="00203017" w:rsidRDefault="00C43B94" w:rsidP="00CA60AF">
      <w:pPr>
        <w:jc w:val="both"/>
        <w:rPr>
          <w:rFonts w:ascii="Arial" w:hAnsi="Arial" w:cs="Arial"/>
          <w:sz w:val="24"/>
          <w:szCs w:val="24"/>
          <w:lang w:val="es-ES"/>
        </w:rPr>
      </w:pPr>
    </w:p>
    <w:p w14:paraId="3D87252B" w14:textId="6BA413F2" w:rsidR="00C43B94" w:rsidRDefault="00C43B94" w:rsidP="00CA60AF">
      <w:pPr>
        <w:jc w:val="both"/>
        <w:rPr>
          <w:rFonts w:ascii="Arial" w:hAnsi="Arial" w:cs="Arial"/>
          <w:sz w:val="24"/>
          <w:szCs w:val="24"/>
          <w:lang w:val="es-ES"/>
        </w:rPr>
      </w:pPr>
      <w:r w:rsidRPr="00203017">
        <w:rPr>
          <w:rFonts w:ascii="Arial" w:hAnsi="Arial" w:cs="Arial"/>
          <w:sz w:val="24"/>
          <w:szCs w:val="24"/>
          <w:lang w:val="es-ES"/>
        </w:rPr>
        <w:t>Los quebrantos fiscales están regulados en el artículo 25 de la LIG, en forma detallada y extensa</w:t>
      </w:r>
      <w:r w:rsidR="00556AAF">
        <w:rPr>
          <w:rStyle w:val="Refdenotaalfinal"/>
          <w:rFonts w:ascii="Arial" w:hAnsi="Arial" w:cs="Arial"/>
          <w:sz w:val="24"/>
          <w:szCs w:val="24"/>
          <w:lang w:val="es-ES"/>
        </w:rPr>
        <w:endnoteReference w:id="2"/>
      </w:r>
      <w:r w:rsidRPr="00203017">
        <w:rPr>
          <w:rFonts w:ascii="Arial" w:hAnsi="Arial" w:cs="Arial"/>
          <w:sz w:val="24"/>
          <w:szCs w:val="24"/>
          <w:lang w:val="es-ES"/>
        </w:rPr>
        <w:t>, con un plazo de utilización contra ganancias gravadas que se obtengan en los siguiente 5 años computados conforme lo dispuesto por el Código Civil y Comercial</w:t>
      </w:r>
      <w:r>
        <w:rPr>
          <w:rStyle w:val="Refdenotaalfinal"/>
          <w:rFonts w:ascii="Arial" w:hAnsi="Arial" w:cs="Arial"/>
          <w:sz w:val="24"/>
          <w:szCs w:val="24"/>
          <w:lang w:val="es-ES"/>
        </w:rPr>
        <w:endnoteReference w:id="3"/>
      </w:r>
      <w:r w:rsidRPr="00203017">
        <w:rPr>
          <w:rFonts w:ascii="Arial" w:hAnsi="Arial" w:cs="Arial"/>
          <w:sz w:val="24"/>
          <w:szCs w:val="24"/>
          <w:lang w:val="es-ES"/>
        </w:rPr>
        <w:t>, prescindiendo de la cantidad de ejercicios regulares o irregulares afectados.</w:t>
      </w:r>
    </w:p>
    <w:p w14:paraId="1CD9F7D8" w14:textId="7105D988" w:rsidR="00C43B94" w:rsidRDefault="00C43B94" w:rsidP="00CA60AF">
      <w:pPr>
        <w:jc w:val="both"/>
        <w:rPr>
          <w:rFonts w:ascii="Arial" w:hAnsi="Arial" w:cs="Arial"/>
          <w:sz w:val="24"/>
          <w:szCs w:val="24"/>
          <w:lang w:val="es-ES"/>
        </w:rPr>
      </w:pPr>
    </w:p>
    <w:p w14:paraId="3A7123C8" w14:textId="77777777" w:rsidR="00C43B94" w:rsidRDefault="00C43B94" w:rsidP="00FE3A4B">
      <w:pPr>
        <w:jc w:val="both"/>
        <w:rPr>
          <w:rFonts w:ascii="Arial" w:hAnsi="Arial" w:cs="Arial"/>
          <w:sz w:val="24"/>
          <w:szCs w:val="24"/>
          <w:lang w:val="es-ES"/>
        </w:rPr>
      </w:pPr>
      <w:r>
        <w:rPr>
          <w:rFonts w:ascii="Arial" w:hAnsi="Arial" w:cs="Arial"/>
          <w:sz w:val="24"/>
          <w:szCs w:val="24"/>
          <w:lang w:val="es-ES"/>
        </w:rPr>
        <w:t xml:space="preserve">El plazo de cinco años para el traslado de los quebrantos fue cambiando a lo largo del tiempo y en alguna ocasión, se produjo su conversión en bonos. </w:t>
      </w:r>
    </w:p>
    <w:p w14:paraId="5CF58E41" w14:textId="77777777" w:rsidR="00C43B94" w:rsidRDefault="00C43B94" w:rsidP="00FE3A4B">
      <w:pPr>
        <w:jc w:val="both"/>
        <w:rPr>
          <w:rFonts w:ascii="Arial" w:hAnsi="Arial" w:cs="Arial"/>
          <w:sz w:val="24"/>
          <w:szCs w:val="24"/>
          <w:lang w:val="es-ES"/>
        </w:rPr>
      </w:pPr>
    </w:p>
    <w:p w14:paraId="5C749EA9" w14:textId="69902CD8" w:rsidR="00C43B94" w:rsidRDefault="00C43B94" w:rsidP="00FE3A4B">
      <w:pPr>
        <w:jc w:val="both"/>
        <w:rPr>
          <w:rFonts w:ascii="Arial" w:hAnsi="Arial" w:cs="Arial"/>
          <w:sz w:val="24"/>
          <w:szCs w:val="24"/>
          <w:lang w:val="es-ES"/>
        </w:rPr>
      </w:pPr>
      <w:r>
        <w:rPr>
          <w:rFonts w:ascii="Arial" w:hAnsi="Arial" w:cs="Arial"/>
          <w:sz w:val="24"/>
          <w:szCs w:val="24"/>
          <w:lang w:val="es-ES"/>
        </w:rPr>
        <w:t>La LIG, originalmente, establecía un plazo de diez años para el traslado de quebrantos y su compensación con ganancias futuras</w:t>
      </w:r>
      <w:r>
        <w:rPr>
          <w:rStyle w:val="Refdenotaalfinal"/>
          <w:rFonts w:ascii="Arial" w:hAnsi="Arial" w:cs="Arial"/>
          <w:sz w:val="24"/>
          <w:szCs w:val="24"/>
          <w:lang w:val="es-ES"/>
        </w:rPr>
        <w:endnoteReference w:id="4"/>
      </w:r>
      <w:r>
        <w:rPr>
          <w:rFonts w:ascii="Arial" w:hAnsi="Arial" w:cs="Arial"/>
          <w:sz w:val="24"/>
          <w:szCs w:val="24"/>
          <w:lang w:val="es-ES"/>
        </w:rPr>
        <w:t xml:space="preserve">. </w:t>
      </w:r>
    </w:p>
    <w:p w14:paraId="00F7AE23" w14:textId="77777777" w:rsidR="00C43B94" w:rsidRDefault="00C43B94" w:rsidP="00FE3A4B">
      <w:pPr>
        <w:jc w:val="both"/>
        <w:rPr>
          <w:rFonts w:ascii="Arial" w:hAnsi="Arial" w:cs="Arial"/>
          <w:sz w:val="24"/>
          <w:szCs w:val="24"/>
          <w:lang w:val="es-ES"/>
        </w:rPr>
      </w:pPr>
    </w:p>
    <w:p w14:paraId="50539828" w14:textId="5CB38A4F" w:rsidR="005D35D4" w:rsidRDefault="00C43B94" w:rsidP="00FE3A4B">
      <w:pPr>
        <w:jc w:val="both"/>
        <w:rPr>
          <w:rFonts w:ascii="Arial" w:hAnsi="Arial" w:cs="Arial"/>
          <w:sz w:val="24"/>
          <w:szCs w:val="24"/>
          <w:lang w:val="es-ES"/>
        </w:rPr>
      </w:pPr>
      <w:r>
        <w:rPr>
          <w:rFonts w:ascii="Arial" w:hAnsi="Arial" w:cs="Arial"/>
          <w:sz w:val="24"/>
          <w:szCs w:val="24"/>
          <w:lang w:val="es-ES"/>
        </w:rPr>
        <w:t xml:space="preserve">La Ley N° 23.260 redujo el plazo para el cómputo de los quebrantos de diez a cinco años, para aquellos que se originasen en ejercicios fiscales en curso al 11/10/1985. La </w:t>
      </w:r>
      <w:r w:rsidRPr="00600C54">
        <w:rPr>
          <w:rFonts w:ascii="Arial" w:hAnsi="Arial" w:cs="Arial"/>
          <w:sz w:val="24"/>
          <w:szCs w:val="24"/>
          <w:lang w:val="es-ES"/>
        </w:rPr>
        <w:t xml:space="preserve">Ley </w:t>
      </w:r>
      <w:r>
        <w:rPr>
          <w:rFonts w:ascii="Arial" w:hAnsi="Arial" w:cs="Arial"/>
          <w:sz w:val="24"/>
          <w:szCs w:val="24"/>
          <w:lang w:val="es-ES"/>
        </w:rPr>
        <w:t>N°</w:t>
      </w:r>
      <w:r w:rsidRPr="00600C54">
        <w:rPr>
          <w:rFonts w:ascii="Arial" w:hAnsi="Arial" w:cs="Arial"/>
          <w:sz w:val="24"/>
          <w:szCs w:val="24"/>
          <w:lang w:val="es-ES"/>
        </w:rPr>
        <w:t xml:space="preserve"> 23.549 </w:t>
      </w:r>
      <w:r w:rsidRPr="006B646E">
        <w:rPr>
          <w:rFonts w:ascii="Arial" w:hAnsi="Arial" w:cs="Arial"/>
          <w:sz w:val="24"/>
          <w:szCs w:val="24"/>
          <w:lang w:val="es-ES"/>
        </w:rPr>
        <w:t>suspend</w:t>
      </w:r>
      <w:r>
        <w:rPr>
          <w:rFonts w:ascii="Arial" w:hAnsi="Arial" w:cs="Arial"/>
          <w:sz w:val="24"/>
          <w:szCs w:val="24"/>
          <w:lang w:val="es-ES"/>
        </w:rPr>
        <w:t>ió</w:t>
      </w:r>
      <w:r w:rsidRPr="00600C54">
        <w:rPr>
          <w:rFonts w:ascii="Arial" w:hAnsi="Arial" w:cs="Arial"/>
          <w:sz w:val="24"/>
          <w:szCs w:val="24"/>
          <w:lang w:val="es-ES"/>
        </w:rPr>
        <w:t xml:space="preserve"> el cómputo de los quebrantos para los dos ejercicios que </w:t>
      </w:r>
      <w:r>
        <w:rPr>
          <w:rFonts w:ascii="Arial" w:hAnsi="Arial" w:cs="Arial"/>
          <w:sz w:val="24"/>
          <w:szCs w:val="24"/>
          <w:lang w:val="es-ES"/>
        </w:rPr>
        <w:t>cerraban</w:t>
      </w:r>
      <w:r w:rsidRPr="00600C54">
        <w:rPr>
          <w:rFonts w:ascii="Arial" w:hAnsi="Arial" w:cs="Arial"/>
          <w:sz w:val="24"/>
          <w:szCs w:val="24"/>
          <w:lang w:val="es-ES"/>
        </w:rPr>
        <w:t xml:space="preserve"> a partir del 27 de enero de 1988 y </w:t>
      </w:r>
      <w:r w:rsidRPr="006B646E">
        <w:rPr>
          <w:rFonts w:ascii="Arial" w:hAnsi="Arial" w:cs="Arial"/>
          <w:sz w:val="24"/>
          <w:szCs w:val="24"/>
          <w:lang w:val="es-ES"/>
        </w:rPr>
        <w:t>establec</w:t>
      </w:r>
      <w:r>
        <w:rPr>
          <w:rFonts w:ascii="Arial" w:hAnsi="Arial" w:cs="Arial"/>
          <w:sz w:val="24"/>
          <w:szCs w:val="24"/>
          <w:lang w:val="es-ES"/>
        </w:rPr>
        <w:t>ía</w:t>
      </w:r>
      <w:r w:rsidRPr="00600C54">
        <w:rPr>
          <w:rFonts w:ascii="Arial" w:hAnsi="Arial" w:cs="Arial"/>
          <w:sz w:val="24"/>
          <w:szCs w:val="24"/>
          <w:lang w:val="es-ES"/>
        </w:rPr>
        <w:t xml:space="preserve"> la limitación en la imputación d</w:t>
      </w:r>
      <w:r w:rsidR="009334EB">
        <w:rPr>
          <w:rFonts w:ascii="Arial" w:hAnsi="Arial" w:cs="Arial"/>
          <w:sz w:val="24"/>
          <w:szCs w:val="24"/>
          <w:lang w:val="es-ES"/>
        </w:rPr>
        <w:t>-</w:t>
      </w:r>
      <w:r w:rsidRPr="00600C54">
        <w:rPr>
          <w:rFonts w:ascii="Arial" w:hAnsi="Arial" w:cs="Arial"/>
          <w:sz w:val="24"/>
          <w:szCs w:val="24"/>
          <w:lang w:val="es-ES"/>
        </w:rPr>
        <w:t>e estos al 50% de la utilidad del ejercicio, luego de cumplido el período de suspensión</w:t>
      </w:r>
      <w:r>
        <w:rPr>
          <w:rFonts w:ascii="Arial" w:hAnsi="Arial" w:cs="Arial"/>
          <w:sz w:val="24"/>
          <w:szCs w:val="24"/>
          <w:lang w:val="es-ES"/>
        </w:rPr>
        <w:t xml:space="preserve">. La </w:t>
      </w:r>
      <w:r w:rsidRPr="00600C54">
        <w:rPr>
          <w:rFonts w:ascii="Arial" w:hAnsi="Arial" w:cs="Arial"/>
          <w:sz w:val="24"/>
          <w:szCs w:val="24"/>
          <w:lang w:val="es-ES"/>
        </w:rPr>
        <w:t xml:space="preserve">Ley </w:t>
      </w:r>
      <w:r>
        <w:rPr>
          <w:rFonts w:ascii="Arial" w:hAnsi="Arial" w:cs="Arial"/>
          <w:sz w:val="24"/>
          <w:szCs w:val="24"/>
          <w:lang w:val="es-ES"/>
        </w:rPr>
        <w:t>N°</w:t>
      </w:r>
      <w:r w:rsidRPr="00600C54">
        <w:rPr>
          <w:rFonts w:ascii="Arial" w:hAnsi="Arial" w:cs="Arial"/>
          <w:sz w:val="24"/>
          <w:szCs w:val="24"/>
          <w:lang w:val="es-ES"/>
        </w:rPr>
        <w:t xml:space="preserve"> 23.760 restablec</w:t>
      </w:r>
      <w:r>
        <w:rPr>
          <w:rFonts w:ascii="Arial" w:hAnsi="Arial" w:cs="Arial"/>
          <w:sz w:val="24"/>
          <w:szCs w:val="24"/>
          <w:lang w:val="es-ES"/>
        </w:rPr>
        <w:t>ió</w:t>
      </w:r>
      <w:r w:rsidRPr="00600C54">
        <w:rPr>
          <w:rFonts w:ascii="Arial" w:hAnsi="Arial" w:cs="Arial"/>
          <w:sz w:val="24"/>
          <w:szCs w:val="24"/>
          <w:lang w:val="es-ES"/>
        </w:rPr>
        <w:t xml:space="preserve"> el cómputo de quebrantos sin limitaciones a la utilidad del ejercicio respecto de los ejercicios iniciados a partir del 27 de enero de 1990.</w:t>
      </w:r>
      <w:r>
        <w:rPr>
          <w:rFonts w:ascii="Arial" w:hAnsi="Arial" w:cs="Arial"/>
          <w:sz w:val="24"/>
          <w:szCs w:val="24"/>
          <w:lang w:val="es-ES"/>
        </w:rPr>
        <w:t xml:space="preserve"> </w:t>
      </w:r>
      <w:r w:rsidR="005D35D4">
        <w:rPr>
          <w:rFonts w:ascii="Arial" w:hAnsi="Arial" w:cs="Arial"/>
          <w:sz w:val="24"/>
          <w:szCs w:val="24"/>
          <w:lang w:val="es-ES"/>
        </w:rPr>
        <w:t>Inclusive, en alguna oportunidad se estableció la conversión de los quebrantos en bonos de crédito fiscal</w:t>
      </w:r>
      <w:r w:rsidR="005D35D4">
        <w:rPr>
          <w:rStyle w:val="Refdenotaalfinal"/>
          <w:rFonts w:ascii="Arial" w:hAnsi="Arial" w:cs="Arial"/>
          <w:sz w:val="24"/>
          <w:szCs w:val="24"/>
          <w:lang w:val="es-ES"/>
        </w:rPr>
        <w:endnoteReference w:id="5"/>
      </w:r>
      <w:r w:rsidR="005D35D4">
        <w:rPr>
          <w:rFonts w:ascii="Arial" w:hAnsi="Arial" w:cs="Arial"/>
          <w:sz w:val="24"/>
          <w:szCs w:val="24"/>
          <w:lang w:val="es-ES"/>
        </w:rPr>
        <w:t xml:space="preserve">. </w:t>
      </w:r>
    </w:p>
    <w:p w14:paraId="0C157815" w14:textId="77777777" w:rsidR="005D35D4" w:rsidRPr="00203017" w:rsidRDefault="005D35D4" w:rsidP="00CA60AF">
      <w:pPr>
        <w:jc w:val="both"/>
        <w:rPr>
          <w:rFonts w:ascii="Arial" w:hAnsi="Arial" w:cs="Arial"/>
          <w:sz w:val="24"/>
          <w:szCs w:val="24"/>
          <w:lang w:val="es-ES"/>
        </w:rPr>
      </w:pPr>
    </w:p>
    <w:p w14:paraId="7FBB2082" w14:textId="46201BDF" w:rsidR="00C43B94" w:rsidRPr="00203017" w:rsidRDefault="00C43B94" w:rsidP="00CA60AF">
      <w:pPr>
        <w:jc w:val="both"/>
        <w:rPr>
          <w:rFonts w:ascii="Arial" w:hAnsi="Arial" w:cs="Arial"/>
          <w:sz w:val="24"/>
          <w:szCs w:val="24"/>
          <w:lang w:val="es-ES"/>
        </w:rPr>
      </w:pPr>
      <w:r w:rsidRPr="00203017">
        <w:rPr>
          <w:rFonts w:ascii="Arial" w:hAnsi="Arial" w:cs="Arial"/>
          <w:sz w:val="24"/>
          <w:szCs w:val="24"/>
          <w:lang w:val="es-ES"/>
        </w:rPr>
        <w:t xml:space="preserve">Los quebrantos fiscales </w:t>
      </w:r>
      <w:r>
        <w:rPr>
          <w:rFonts w:ascii="Arial" w:hAnsi="Arial" w:cs="Arial"/>
          <w:sz w:val="24"/>
          <w:szCs w:val="24"/>
          <w:lang w:val="es-ES"/>
        </w:rPr>
        <w:t xml:space="preserve">conforme la ley </w:t>
      </w:r>
      <w:r w:rsidRPr="00203017">
        <w:rPr>
          <w:rFonts w:ascii="Arial" w:hAnsi="Arial" w:cs="Arial"/>
          <w:sz w:val="24"/>
          <w:szCs w:val="24"/>
          <w:lang w:val="es-ES"/>
        </w:rPr>
        <w:t xml:space="preserve">son intransferibles, salvo: i) respectos de las personas humanas, con el fallecimiento se traslada a la sucesión indivisa, al cónyuge y los herederos, ii) para las personas jurídicas, está prevista en los casos de reorganizaciones (fusiones, escisiones y transferencias) que cumplan con ciertos requisitos de titularidad accionaria en los dos años anteriores a la fecha de reorganización de las sociedades reorganizadas. </w:t>
      </w:r>
      <w:r w:rsidR="00351DC6">
        <w:rPr>
          <w:rFonts w:ascii="Arial" w:hAnsi="Arial" w:cs="Arial"/>
          <w:sz w:val="24"/>
          <w:szCs w:val="24"/>
          <w:lang w:val="es-ES"/>
        </w:rPr>
        <w:t xml:space="preserve">Sin perjuicio de las alternativas de traslación que analizaremos </w:t>
      </w:r>
      <w:r w:rsidR="00EF74DE">
        <w:rPr>
          <w:rFonts w:ascii="Arial" w:hAnsi="Arial" w:cs="Arial"/>
          <w:sz w:val="24"/>
          <w:szCs w:val="24"/>
          <w:lang w:val="es-ES"/>
        </w:rPr>
        <w:t>en particular más adelante.</w:t>
      </w:r>
      <w:r w:rsidR="00351DC6">
        <w:rPr>
          <w:rFonts w:ascii="Arial" w:hAnsi="Arial" w:cs="Arial"/>
          <w:sz w:val="24"/>
          <w:szCs w:val="24"/>
          <w:lang w:val="es-ES"/>
        </w:rPr>
        <w:t xml:space="preserve"> </w:t>
      </w:r>
      <w:r w:rsidRPr="00203017">
        <w:rPr>
          <w:rFonts w:ascii="Arial" w:hAnsi="Arial" w:cs="Arial"/>
          <w:sz w:val="24"/>
          <w:szCs w:val="24"/>
          <w:lang w:val="es-ES"/>
        </w:rPr>
        <w:t>En todos los casos con el límite de 5 años conforme el Código Civil y Comercial</w:t>
      </w:r>
      <w:r>
        <w:rPr>
          <w:rStyle w:val="Refdenotaalfinal"/>
          <w:rFonts w:ascii="Arial" w:hAnsi="Arial" w:cs="Arial"/>
          <w:sz w:val="24"/>
          <w:szCs w:val="24"/>
          <w:lang w:val="es-ES"/>
        </w:rPr>
        <w:endnoteReference w:id="6"/>
      </w:r>
      <w:r w:rsidRPr="00203017">
        <w:rPr>
          <w:rFonts w:ascii="Arial" w:hAnsi="Arial" w:cs="Arial"/>
          <w:sz w:val="24"/>
          <w:szCs w:val="24"/>
          <w:lang w:val="es-ES"/>
        </w:rPr>
        <w:t>.</w:t>
      </w:r>
      <w:r>
        <w:rPr>
          <w:rFonts w:ascii="Arial" w:hAnsi="Arial" w:cs="Arial"/>
          <w:sz w:val="24"/>
          <w:szCs w:val="24"/>
          <w:lang w:val="es-ES"/>
        </w:rPr>
        <w:t xml:space="preserve"> </w:t>
      </w:r>
    </w:p>
    <w:p w14:paraId="48DB1B5B" w14:textId="35C9A1A4" w:rsidR="00C43B94" w:rsidRDefault="00C43B94" w:rsidP="00CA60AF">
      <w:pPr>
        <w:jc w:val="both"/>
        <w:rPr>
          <w:rFonts w:ascii="Arial" w:hAnsi="Arial" w:cs="Arial"/>
          <w:sz w:val="24"/>
          <w:szCs w:val="24"/>
          <w:lang w:val="es-ES"/>
        </w:rPr>
      </w:pPr>
    </w:p>
    <w:p w14:paraId="4EC4C447" w14:textId="38F31DD5" w:rsidR="00C43B94" w:rsidRDefault="00C43B94" w:rsidP="00CA60AF">
      <w:pPr>
        <w:jc w:val="both"/>
        <w:rPr>
          <w:rFonts w:ascii="Arial" w:hAnsi="Arial" w:cs="Arial"/>
          <w:sz w:val="24"/>
          <w:szCs w:val="24"/>
          <w:lang w:val="es-ES"/>
        </w:rPr>
      </w:pPr>
      <w:r>
        <w:rPr>
          <w:rFonts w:ascii="Arial" w:hAnsi="Arial" w:cs="Arial"/>
          <w:sz w:val="24"/>
          <w:szCs w:val="24"/>
          <w:lang w:val="es-ES"/>
        </w:rPr>
        <w:t xml:space="preserve">La traslación de quebrantos procura captar la correcta capacidad contributiva por encima de la limitación temporal o ejercicio, y en tal sentido, en algunas jurisdicciones se permite considerar una traslación hacia atrás (llamada “carryback”).Esto  permite un recupero de impuestos pagado en años anteriores. </w:t>
      </w:r>
      <w:r>
        <w:rPr>
          <w:rFonts w:ascii="Arial" w:hAnsi="Arial" w:cs="Arial"/>
          <w:sz w:val="24"/>
          <w:szCs w:val="24"/>
          <w:lang w:val="es-ES"/>
        </w:rPr>
        <w:lastRenderedPageBreak/>
        <w:t xml:space="preserve">En tal sentido hay países que tienen traslación hacia atrás y en muchos casos se ha mejorado como un mecanismo de ayuda económica en medio de la actual pandemia de Covid-19. </w:t>
      </w:r>
    </w:p>
    <w:p w14:paraId="48452755" w14:textId="77777777" w:rsidR="00C43B94" w:rsidRDefault="00C43B94" w:rsidP="00CA60AF">
      <w:pPr>
        <w:jc w:val="both"/>
        <w:rPr>
          <w:rFonts w:ascii="Arial" w:hAnsi="Arial" w:cs="Arial"/>
          <w:sz w:val="24"/>
          <w:szCs w:val="24"/>
          <w:lang w:val="es-ES"/>
        </w:rPr>
      </w:pPr>
    </w:p>
    <w:p w14:paraId="134AD032" w14:textId="7A8B7EC6" w:rsidR="00C43B94" w:rsidRDefault="00C43B94" w:rsidP="00CA60AF">
      <w:pPr>
        <w:jc w:val="both"/>
        <w:rPr>
          <w:rFonts w:ascii="Arial" w:hAnsi="Arial" w:cs="Arial"/>
          <w:sz w:val="24"/>
          <w:szCs w:val="24"/>
          <w:lang w:val="es-ES"/>
        </w:rPr>
      </w:pPr>
      <w:r>
        <w:rPr>
          <w:rFonts w:ascii="Arial" w:hAnsi="Arial" w:cs="Arial"/>
          <w:sz w:val="24"/>
          <w:szCs w:val="24"/>
          <w:lang w:val="es-ES"/>
        </w:rPr>
        <w:t>En tal sentido, Francia que permite una traslación hacia el año inmediato anterior hasta un máximo de euros 1.000.000, y en el caso de Estados Unidos que a partir del 2018 ha restringido la traslación hacia atrás, la misma se ha ampliado para los años 2018, 2019 y 2020 al permitir su traslación hacia atrás como una forma de generar reembolsos de impuestos que ayuden a atenuar los efectos adversos de la pandemia Covid-19.</w:t>
      </w:r>
      <w:r w:rsidR="00F61AB7" w:rsidRPr="003C5118">
        <w:rPr>
          <w:rFonts w:ascii="Arial" w:hAnsi="Arial" w:cs="Arial"/>
          <w:sz w:val="24"/>
          <w:szCs w:val="24"/>
          <w:lang w:val="es-ES"/>
        </w:rPr>
        <w:t>Igual medida en forma temporal ha establecido Nueva Zelanda para los años 2020 y 2021.</w:t>
      </w:r>
      <w:r>
        <w:rPr>
          <w:rFonts w:ascii="Arial" w:hAnsi="Arial" w:cs="Arial"/>
          <w:sz w:val="24"/>
          <w:szCs w:val="24"/>
          <w:lang w:val="es-ES"/>
        </w:rPr>
        <w:t>Sin perjuicio de ampliar el tema comparativo en el punto</w:t>
      </w:r>
      <w:r w:rsidR="003C69AF">
        <w:rPr>
          <w:rFonts w:ascii="Arial" w:hAnsi="Arial" w:cs="Arial"/>
          <w:sz w:val="24"/>
          <w:szCs w:val="24"/>
          <w:lang w:val="es-ES"/>
        </w:rPr>
        <w:t xml:space="preserve"> </w:t>
      </w:r>
      <w:r w:rsidR="008512A2">
        <w:rPr>
          <w:rFonts w:ascii="Arial" w:hAnsi="Arial" w:cs="Arial"/>
          <w:sz w:val="24"/>
          <w:szCs w:val="24"/>
          <w:lang w:val="es-ES"/>
        </w:rPr>
        <w:t>7</w:t>
      </w:r>
      <w:r>
        <w:rPr>
          <w:rFonts w:ascii="Arial" w:hAnsi="Arial" w:cs="Arial"/>
          <w:sz w:val="24"/>
          <w:szCs w:val="24"/>
          <w:lang w:val="es-ES"/>
        </w:rPr>
        <w:t>, en distintos países la traslación a ejercicios futuro no tiene límites temporales, a veces con limitaciones porcentuales, o permiten plazos mayores de 10 y hasta 20 años</w:t>
      </w:r>
      <w:r w:rsidR="004378EB">
        <w:rPr>
          <w:rStyle w:val="Refdenotaalfinal"/>
          <w:rFonts w:ascii="Arial" w:hAnsi="Arial" w:cs="Arial"/>
          <w:sz w:val="24"/>
          <w:szCs w:val="24"/>
          <w:lang w:val="es-ES"/>
        </w:rPr>
        <w:endnoteReference w:id="7"/>
      </w:r>
      <w:r>
        <w:rPr>
          <w:rFonts w:ascii="Arial" w:hAnsi="Arial" w:cs="Arial"/>
          <w:sz w:val="24"/>
          <w:szCs w:val="24"/>
          <w:lang w:val="es-ES"/>
        </w:rPr>
        <w:t>.</w:t>
      </w:r>
    </w:p>
    <w:p w14:paraId="08441964" w14:textId="0F0AE004" w:rsidR="003C69AF" w:rsidRDefault="003C69AF" w:rsidP="00CA60AF">
      <w:pPr>
        <w:jc w:val="both"/>
        <w:rPr>
          <w:rFonts w:ascii="Arial" w:hAnsi="Arial" w:cs="Arial"/>
          <w:b/>
          <w:bCs/>
          <w:sz w:val="24"/>
          <w:szCs w:val="24"/>
          <w:lang w:val="es-ES"/>
        </w:rPr>
      </w:pPr>
    </w:p>
    <w:p w14:paraId="2F40ABCE" w14:textId="77777777" w:rsidR="003C69AF" w:rsidRDefault="003C69AF" w:rsidP="00CA60AF">
      <w:pPr>
        <w:jc w:val="both"/>
        <w:rPr>
          <w:rFonts w:ascii="Arial" w:hAnsi="Arial" w:cs="Arial"/>
          <w:b/>
          <w:bCs/>
          <w:sz w:val="24"/>
          <w:szCs w:val="24"/>
          <w:lang w:val="es-ES"/>
        </w:rPr>
      </w:pPr>
    </w:p>
    <w:p w14:paraId="7BEEA217" w14:textId="41CD9E70" w:rsidR="00C43B94" w:rsidRPr="00F650AF" w:rsidRDefault="00D93EC8" w:rsidP="00CA60AF">
      <w:pPr>
        <w:jc w:val="both"/>
        <w:rPr>
          <w:rFonts w:ascii="Arial" w:hAnsi="Arial" w:cs="Arial"/>
          <w:b/>
          <w:bCs/>
          <w:sz w:val="24"/>
          <w:szCs w:val="24"/>
          <w:u w:val="single"/>
          <w:lang w:val="es-ES"/>
        </w:rPr>
      </w:pPr>
      <w:r w:rsidRPr="003C69AF">
        <w:rPr>
          <w:rFonts w:ascii="Arial" w:hAnsi="Arial" w:cs="Arial"/>
          <w:b/>
          <w:bCs/>
          <w:sz w:val="24"/>
          <w:szCs w:val="24"/>
          <w:u w:val="single"/>
          <w:lang w:val="es-ES"/>
        </w:rPr>
        <w:t>3</w:t>
      </w:r>
      <w:r w:rsidR="00C43B94" w:rsidRPr="003C69AF">
        <w:rPr>
          <w:rFonts w:ascii="Arial" w:hAnsi="Arial" w:cs="Arial"/>
          <w:b/>
          <w:bCs/>
          <w:sz w:val="24"/>
          <w:szCs w:val="24"/>
          <w:u w:val="single"/>
          <w:lang w:val="es-ES"/>
        </w:rPr>
        <w:t xml:space="preserve">. </w:t>
      </w:r>
      <w:r w:rsidR="00C43B94" w:rsidRPr="00F650AF">
        <w:rPr>
          <w:rFonts w:ascii="Arial" w:hAnsi="Arial" w:cs="Arial"/>
          <w:b/>
          <w:bCs/>
          <w:sz w:val="24"/>
          <w:szCs w:val="24"/>
          <w:u w:val="single"/>
          <w:lang w:val="es-ES"/>
        </w:rPr>
        <w:t>Régimen de compensación de quebrantos</w:t>
      </w:r>
    </w:p>
    <w:p w14:paraId="187AB9AB" w14:textId="3731A705" w:rsidR="00C43B94" w:rsidRDefault="00C43B94" w:rsidP="00CA60AF">
      <w:pPr>
        <w:jc w:val="both"/>
        <w:rPr>
          <w:rFonts w:ascii="Arial" w:hAnsi="Arial" w:cs="Arial"/>
          <w:sz w:val="24"/>
          <w:szCs w:val="24"/>
          <w:lang w:val="es-ES"/>
        </w:rPr>
      </w:pPr>
    </w:p>
    <w:p w14:paraId="06E132C0" w14:textId="5A07670F" w:rsidR="00C43B94" w:rsidRDefault="00C43B94" w:rsidP="00CA60AF">
      <w:pPr>
        <w:jc w:val="both"/>
        <w:rPr>
          <w:rFonts w:ascii="Arial" w:hAnsi="Arial" w:cs="Arial"/>
          <w:sz w:val="24"/>
          <w:szCs w:val="24"/>
          <w:lang w:val="es-ES"/>
        </w:rPr>
      </w:pPr>
      <w:r>
        <w:rPr>
          <w:rFonts w:ascii="Arial" w:hAnsi="Arial" w:cs="Arial"/>
          <w:sz w:val="24"/>
          <w:szCs w:val="24"/>
          <w:lang w:val="es-ES"/>
        </w:rPr>
        <w:t>Una primera división de análisis es entre sujetos personas humanas o sucesiones indivisas y sujetos empresa o personas jurídicas.</w:t>
      </w:r>
    </w:p>
    <w:p w14:paraId="740FB78E" w14:textId="1A01C065" w:rsidR="00C43B94" w:rsidRDefault="00C43B94" w:rsidP="00CA60AF">
      <w:pPr>
        <w:jc w:val="both"/>
        <w:rPr>
          <w:rFonts w:ascii="Arial" w:hAnsi="Arial" w:cs="Arial"/>
          <w:sz w:val="24"/>
          <w:szCs w:val="24"/>
          <w:lang w:val="es-ES"/>
        </w:rPr>
      </w:pPr>
    </w:p>
    <w:p w14:paraId="26CDEE1E" w14:textId="75885F33" w:rsidR="00C43B94" w:rsidRPr="007D0A88" w:rsidRDefault="00C43B94" w:rsidP="00B3682C">
      <w:pPr>
        <w:jc w:val="both"/>
        <w:rPr>
          <w:rFonts w:ascii="Arial" w:hAnsi="Arial" w:cs="Arial"/>
          <w:sz w:val="24"/>
          <w:szCs w:val="24"/>
          <w:lang w:val="es-ES"/>
        </w:rPr>
      </w:pPr>
      <w:r w:rsidRPr="003C5118">
        <w:rPr>
          <w:rFonts w:ascii="Arial" w:hAnsi="Arial" w:cs="Arial"/>
          <w:b/>
          <w:bCs/>
          <w:sz w:val="24"/>
          <w:szCs w:val="24"/>
          <w:lang w:val="es-ES"/>
        </w:rPr>
        <w:t>Las personas humanas</w:t>
      </w:r>
      <w:r w:rsidR="00063D1E">
        <w:rPr>
          <w:rFonts w:ascii="Arial" w:hAnsi="Arial" w:cs="Arial"/>
          <w:b/>
          <w:bCs/>
          <w:sz w:val="24"/>
          <w:szCs w:val="24"/>
          <w:lang w:val="es-ES"/>
        </w:rPr>
        <w:t xml:space="preserve">. </w:t>
      </w:r>
      <w:r w:rsidR="00063D1E" w:rsidRPr="003C5118">
        <w:rPr>
          <w:rFonts w:ascii="Arial" w:hAnsi="Arial" w:cs="Arial"/>
          <w:sz w:val="24"/>
          <w:szCs w:val="24"/>
          <w:lang w:val="es-ES"/>
        </w:rPr>
        <w:t>T</w:t>
      </w:r>
      <w:r>
        <w:rPr>
          <w:rFonts w:ascii="Arial" w:hAnsi="Arial" w:cs="Arial"/>
          <w:sz w:val="24"/>
          <w:szCs w:val="24"/>
          <w:lang w:val="es-ES"/>
        </w:rPr>
        <w:t xml:space="preserve">ienen un orden de compensación del quebranto generado en una determinada categoría de resultados con los resultados de las demás categorías. Con una reserva derivada de la vigencia del </w:t>
      </w:r>
      <w:r w:rsidRPr="00E87023">
        <w:rPr>
          <w:rFonts w:ascii="Arial" w:hAnsi="Arial" w:cs="Arial"/>
          <w:i/>
          <w:iCs/>
          <w:sz w:val="24"/>
          <w:szCs w:val="24"/>
          <w:lang w:val="es-ES"/>
        </w:rPr>
        <w:t>impuesto a las ganancias cedular</w:t>
      </w:r>
      <w:r>
        <w:rPr>
          <w:rFonts w:ascii="Arial" w:hAnsi="Arial" w:cs="Arial"/>
          <w:i/>
          <w:iCs/>
          <w:sz w:val="24"/>
          <w:szCs w:val="24"/>
          <w:lang w:val="es-ES"/>
        </w:rPr>
        <w:t xml:space="preserve"> </w:t>
      </w:r>
      <w:r w:rsidRPr="007D0A88">
        <w:rPr>
          <w:rFonts w:ascii="Arial" w:hAnsi="Arial" w:cs="Arial"/>
          <w:sz w:val="24"/>
          <w:szCs w:val="24"/>
          <w:lang w:val="es-ES"/>
        </w:rPr>
        <w:t>(Titulo IV</w:t>
      </w:r>
      <w:r>
        <w:rPr>
          <w:rFonts w:ascii="Arial" w:hAnsi="Arial" w:cs="Arial"/>
          <w:sz w:val="24"/>
          <w:szCs w:val="24"/>
          <w:lang w:val="es-ES"/>
        </w:rPr>
        <w:t xml:space="preserve"> -</w:t>
      </w:r>
      <w:r w:rsidRPr="007D0A88">
        <w:rPr>
          <w:rFonts w:ascii="Arial" w:hAnsi="Arial" w:cs="Arial"/>
          <w:sz w:val="24"/>
          <w:szCs w:val="24"/>
          <w:lang w:val="es-ES"/>
        </w:rPr>
        <w:t xml:space="preserve"> Cap</w:t>
      </w:r>
      <w:r>
        <w:rPr>
          <w:rFonts w:ascii="Arial" w:hAnsi="Arial" w:cs="Arial"/>
          <w:sz w:val="24"/>
          <w:szCs w:val="24"/>
          <w:lang w:val="es-ES"/>
        </w:rPr>
        <w:t>ítulo</w:t>
      </w:r>
      <w:r w:rsidRPr="007D0A88">
        <w:rPr>
          <w:rFonts w:ascii="Arial" w:hAnsi="Arial" w:cs="Arial"/>
          <w:sz w:val="24"/>
          <w:szCs w:val="24"/>
          <w:lang w:val="es-ES"/>
        </w:rPr>
        <w:t xml:space="preserve"> </w:t>
      </w:r>
      <w:r>
        <w:rPr>
          <w:rFonts w:ascii="Arial" w:hAnsi="Arial" w:cs="Arial"/>
          <w:sz w:val="24"/>
          <w:szCs w:val="24"/>
          <w:lang w:val="es-ES"/>
        </w:rPr>
        <w:t xml:space="preserve">II </w:t>
      </w:r>
      <w:r w:rsidRPr="007D0A88">
        <w:rPr>
          <w:rFonts w:ascii="Arial" w:hAnsi="Arial" w:cs="Arial"/>
          <w:sz w:val="24"/>
          <w:szCs w:val="24"/>
          <w:lang w:val="es-ES"/>
        </w:rPr>
        <w:t>de LIG)</w:t>
      </w:r>
      <w:r>
        <w:rPr>
          <w:rFonts w:ascii="Arial" w:hAnsi="Arial" w:cs="Arial"/>
          <w:sz w:val="24"/>
          <w:szCs w:val="24"/>
          <w:lang w:val="es-ES"/>
        </w:rPr>
        <w:t xml:space="preserve"> que tienen un régimen específico de compensación de quebrantos </w:t>
      </w:r>
    </w:p>
    <w:p w14:paraId="109977A3" w14:textId="77777777" w:rsidR="00C43B94" w:rsidRDefault="00C43B94" w:rsidP="00B3682C">
      <w:pPr>
        <w:jc w:val="both"/>
        <w:rPr>
          <w:rFonts w:ascii="Arial" w:hAnsi="Arial" w:cs="Arial"/>
          <w:sz w:val="24"/>
          <w:szCs w:val="24"/>
          <w:lang w:val="es-ES"/>
        </w:rPr>
      </w:pPr>
    </w:p>
    <w:p w14:paraId="73648538" w14:textId="2F64A257" w:rsidR="00C43B94" w:rsidRPr="00B3682C" w:rsidRDefault="00C43B94" w:rsidP="00B3682C">
      <w:pPr>
        <w:jc w:val="both"/>
        <w:rPr>
          <w:rFonts w:ascii="Arial" w:hAnsi="Arial" w:cs="Arial"/>
          <w:sz w:val="24"/>
          <w:szCs w:val="24"/>
          <w:lang w:val="es-ES"/>
        </w:rPr>
      </w:pPr>
      <w:r w:rsidRPr="00B3682C">
        <w:rPr>
          <w:rFonts w:ascii="Arial" w:hAnsi="Arial" w:cs="Arial"/>
          <w:sz w:val="24"/>
          <w:szCs w:val="24"/>
          <w:lang w:val="es-ES"/>
        </w:rPr>
        <w:t xml:space="preserve">En primer término, dicha compensación se realizará respecto de los resultados netos obtenidos dentro de cada categoría, con excepción de las ganancias provenientes de las inversiones —incluidas las monedas digitales— y operaciones a las que hace referencia el Capítulo II del Título IV </w:t>
      </w:r>
      <w:r>
        <w:rPr>
          <w:rFonts w:ascii="Arial" w:hAnsi="Arial" w:cs="Arial"/>
          <w:sz w:val="24"/>
          <w:szCs w:val="24"/>
          <w:lang w:val="es-ES"/>
        </w:rPr>
        <w:t xml:space="preserve">la LIG. </w:t>
      </w:r>
    </w:p>
    <w:p w14:paraId="45395929" w14:textId="77777777" w:rsidR="00C43B94" w:rsidRDefault="00C43B94" w:rsidP="00B3682C">
      <w:pPr>
        <w:jc w:val="both"/>
        <w:rPr>
          <w:rFonts w:ascii="Arial" w:hAnsi="Arial" w:cs="Arial"/>
          <w:sz w:val="24"/>
          <w:szCs w:val="24"/>
          <w:lang w:val="es-ES"/>
        </w:rPr>
      </w:pPr>
    </w:p>
    <w:p w14:paraId="503E9544" w14:textId="42B4B162" w:rsidR="00C43B94" w:rsidRDefault="00C43B94" w:rsidP="00B3682C">
      <w:pPr>
        <w:jc w:val="both"/>
        <w:rPr>
          <w:rFonts w:ascii="Arial" w:hAnsi="Arial" w:cs="Arial"/>
          <w:sz w:val="24"/>
          <w:szCs w:val="24"/>
          <w:lang w:val="es-ES"/>
        </w:rPr>
      </w:pPr>
      <w:r w:rsidRPr="00B3682C">
        <w:rPr>
          <w:rFonts w:ascii="Arial" w:hAnsi="Arial" w:cs="Arial"/>
          <w:sz w:val="24"/>
          <w:szCs w:val="24"/>
          <w:lang w:val="es-ES"/>
        </w:rPr>
        <w:t xml:space="preserve">Si por aplicación de la compensación </w:t>
      </w:r>
      <w:r>
        <w:rPr>
          <w:rFonts w:ascii="Arial" w:hAnsi="Arial" w:cs="Arial"/>
          <w:sz w:val="24"/>
          <w:szCs w:val="24"/>
          <w:lang w:val="es-ES"/>
        </w:rPr>
        <w:t xml:space="preserve">anteriormente </w:t>
      </w:r>
      <w:r w:rsidRPr="00B3682C">
        <w:rPr>
          <w:rFonts w:ascii="Arial" w:hAnsi="Arial" w:cs="Arial"/>
          <w:sz w:val="24"/>
          <w:szCs w:val="24"/>
          <w:lang w:val="es-ES"/>
        </w:rPr>
        <w:t>resultaran quebrantos en una o más categorías, la suma de éstos se compensará con las ganancias netas de las categorías segunda, primera, tercera y cuarta, sucesivamente.</w:t>
      </w:r>
      <w:r>
        <w:rPr>
          <w:rFonts w:ascii="Arial" w:hAnsi="Arial" w:cs="Arial"/>
          <w:sz w:val="24"/>
          <w:szCs w:val="24"/>
          <w:lang w:val="es-ES"/>
        </w:rPr>
        <w:t xml:space="preserve"> Y si el resultado final es quebranto se traslada para su compensación en años fiscales siguientes, respetando en cada ejercicio el mismo orden: segunda, primera, tercera y cuarta. </w:t>
      </w:r>
    </w:p>
    <w:p w14:paraId="5C64043B" w14:textId="040340C6" w:rsidR="00C43B94" w:rsidRDefault="00C43B94" w:rsidP="00B3682C">
      <w:pPr>
        <w:jc w:val="both"/>
        <w:rPr>
          <w:rFonts w:ascii="Arial" w:hAnsi="Arial" w:cs="Arial"/>
          <w:sz w:val="24"/>
          <w:szCs w:val="24"/>
          <w:lang w:val="es-ES"/>
        </w:rPr>
      </w:pPr>
    </w:p>
    <w:p w14:paraId="0BD8B0A4" w14:textId="0BB9154D" w:rsidR="00C43B94" w:rsidRDefault="00C43B94" w:rsidP="00B3682C">
      <w:pPr>
        <w:jc w:val="both"/>
        <w:rPr>
          <w:rFonts w:ascii="Arial" w:hAnsi="Arial" w:cs="Arial"/>
          <w:sz w:val="24"/>
          <w:szCs w:val="24"/>
          <w:lang w:val="es-ES"/>
        </w:rPr>
      </w:pPr>
      <w:r>
        <w:rPr>
          <w:rFonts w:ascii="Arial" w:hAnsi="Arial" w:cs="Arial"/>
          <w:sz w:val="24"/>
          <w:szCs w:val="24"/>
          <w:lang w:val="es-ES"/>
        </w:rPr>
        <w:t xml:space="preserve">El orden previsto preserva y maximiza la utilización o computo de la “deducción especial” (art. 30 inc. b de la LIG) aplicable con relación a las rentas de tercera y cuarta categoría, vinculadas con el trabajo personal del contribuyente. </w:t>
      </w:r>
    </w:p>
    <w:p w14:paraId="41C3DF0E" w14:textId="1250EF09" w:rsidR="00C43B94" w:rsidRDefault="00C43B94" w:rsidP="00B3682C">
      <w:pPr>
        <w:jc w:val="both"/>
        <w:rPr>
          <w:rFonts w:ascii="Arial" w:hAnsi="Arial" w:cs="Arial"/>
          <w:sz w:val="24"/>
          <w:szCs w:val="24"/>
          <w:lang w:val="es-ES"/>
        </w:rPr>
      </w:pPr>
    </w:p>
    <w:p w14:paraId="787A8F03" w14:textId="711E6190" w:rsidR="00C43B94" w:rsidRDefault="00C43B94" w:rsidP="00B335FA">
      <w:pPr>
        <w:jc w:val="both"/>
        <w:rPr>
          <w:rFonts w:ascii="Arial" w:hAnsi="Arial" w:cs="Arial"/>
          <w:sz w:val="24"/>
          <w:szCs w:val="24"/>
          <w:lang w:val="es-ES"/>
        </w:rPr>
      </w:pPr>
      <w:r>
        <w:rPr>
          <w:rFonts w:ascii="Arial" w:hAnsi="Arial" w:cs="Arial"/>
          <w:sz w:val="24"/>
          <w:szCs w:val="24"/>
          <w:lang w:val="es-ES"/>
        </w:rPr>
        <w:t>En cambio, los quebrantos que se generen en el marco del Impuesto Cedular tienen un régimen de compensación específico. D</w:t>
      </w:r>
      <w:r w:rsidRPr="00B3682C">
        <w:rPr>
          <w:rFonts w:ascii="Arial" w:hAnsi="Arial" w:cs="Arial"/>
          <w:sz w:val="24"/>
          <w:szCs w:val="24"/>
          <w:lang w:val="es-ES"/>
        </w:rPr>
        <w:t xml:space="preserve">e generarse quebranto </w:t>
      </w:r>
      <w:r>
        <w:rPr>
          <w:rFonts w:ascii="Arial" w:hAnsi="Arial" w:cs="Arial"/>
          <w:sz w:val="24"/>
          <w:szCs w:val="24"/>
          <w:lang w:val="es-ES"/>
        </w:rPr>
        <w:t>en el marco del Impuesto Cedular r</w:t>
      </w:r>
      <w:r w:rsidRPr="00B3682C">
        <w:rPr>
          <w:rFonts w:ascii="Arial" w:hAnsi="Arial" w:cs="Arial"/>
          <w:sz w:val="24"/>
          <w:szCs w:val="24"/>
          <w:lang w:val="es-ES"/>
        </w:rPr>
        <w:t xml:space="preserve">esultará de naturaleza específica </w:t>
      </w:r>
      <w:r>
        <w:rPr>
          <w:rFonts w:ascii="Arial" w:hAnsi="Arial" w:cs="Arial"/>
          <w:sz w:val="24"/>
          <w:szCs w:val="24"/>
          <w:lang w:val="es-ES"/>
        </w:rPr>
        <w:t>y</w:t>
      </w:r>
      <w:r w:rsidRPr="00B3682C">
        <w:rPr>
          <w:rFonts w:ascii="Arial" w:hAnsi="Arial" w:cs="Arial"/>
          <w:sz w:val="24"/>
          <w:szCs w:val="24"/>
          <w:lang w:val="es-ES"/>
        </w:rPr>
        <w:t xml:space="preserve">, por lo tanto, </w:t>
      </w:r>
      <w:r>
        <w:rPr>
          <w:rFonts w:ascii="Arial" w:hAnsi="Arial" w:cs="Arial"/>
          <w:sz w:val="24"/>
          <w:szCs w:val="24"/>
          <w:lang w:val="es-ES"/>
        </w:rPr>
        <w:t>se compensa</w:t>
      </w:r>
      <w:r w:rsidRPr="00B3682C">
        <w:rPr>
          <w:rFonts w:ascii="Arial" w:hAnsi="Arial" w:cs="Arial"/>
          <w:sz w:val="24"/>
          <w:szCs w:val="24"/>
          <w:lang w:val="es-ES"/>
        </w:rPr>
        <w:t xml:space="preserve"> exclusivamente con ganancias futuras de su misma fuente y clase</w:t>
      </w:r>
      <w:r>
        <w:rPr>
          <w:rFonts w:ascii="Arial" w:hAnsi="Arial" w:cs="Arial"/>
          <w:sz w:val="24"/>
          <w:szCs w:val="24"/>
          <w:lang w:val="es-ES"/>
        </w:rPr>
        <w:t xml:space="preserve">. </w:t>
      </w:r>
      <w:r w:rsidRPr="00A93896">
        <w:rPr>
          <w:rFonts w:ascii="Arial" w:hAnsi="Arial" w:cs="Arial"/>
          <w:sz w:val="24"/>
          <w:szCs w:val="24"/>
          <w:lang w:val="es-ES"/>
        </w:rPr>
        <w:t>Se entiende por clase, al conjunto de ganancias comprendidas en cada uno de los artículos del citado Capítulo II</w:t>
      </w:r>
      <w:r>
        <w:rPr>
          <w:rFonts w:ascii="Arial" w:hAnsi="Arial" w:cs="Arial"/>
          <w:sz w:val="24"/>
          <w:szCs w:val="24"/>
          <w:lang w:val="es-ES"/>
        </w:rPr>
        <w:t xml:space="preserve"> del Título IV</w:t>
      </w:r>
      <w:r w:rsidRPr="00A93896">
        <w:rPr>
          <w:rFonts w:ascii="Arial" w:hAnsi="Arial" w:cs="Arial"/>
          <w:sz w:val="24"/>
          <w:szCs w:val="24"/>
          <w:lang w:val="es-ES"/>
        </w:rPr>
        <w:t>.</w:t>
      </w:r>
    </w:p>
    <w:p w14:paraId="10CD5E94" w14:textId="77777777" w:rsidR="00C43B94" w:rsidRDefault="00C43B94" w:rsidP="00B335FA">
      <w:pPr>
        <w:jc w:val="both"/>
        <w:rPr>
          <w:rFonts w:ascii="Arial" w:hAnsi="Arial" w:cs="Arial"/>
          <w:sz w:val="24"/>
          <w:szCs w:val="24"/>
          <w:lang w:val="es-ES"/>
        </w:rPr>
      </w:pPr>
    </w:p>
    <w:p w14:paraId="31B20A3D" w14:textId="77777777" w:rsidR="00C43B94" w:rsidRPr="007D0A88" w:rsidRDefault="00C43B94" w:rsidP="00B335FA">
      <w:pPr>
        <w:jc w:val="both"/>
        <w:rPr>
          <w:rFonts w:ascii="Arial" w:hAnsi="Arial" w:cs="Arial"/>
          <w:sz w:val="24"/>
          <w:szCs w:val="24"/>
          <w:lang w:val="es-ES"/>
        </w:rPr>
      </w:pPr>
      <w:r>
        <w:rPr>
          <w:rFonts w:ascii="Arial" w:hAnsi="Arial" w:cs="Arial"/>
          <w:sz w:val="24"/>
          <w:szCs w:val="24"/>
          <w:lang w:val="es-ES"/>
        </w:rPr>
        <w:lastRenderedPageBreak/>
        <w:t>La compensación entre quebrantos y ganancias luego de la introducción del Impuesto Cedular resultaba muy compleja por el grado de cedularización de los quebrantos</w:t>
      </w:r>
      <w:r>
        <w:rPr>
          <w:rStyle w:val="Refdenotaalfinal"/>
          <w:rFonts w:ascii="Arial" w:hAnsi="Arial" w:cs="Arial"/>
          <w:sz w:val="24"/>
          <w:szCs w:val="24"/>
          <w:lang w:val="es-ES"/>
        </w:rPr>
        <w:endnoteReference w:id="8"/>
      </w:r>
      <w:r>
        <w:rPr>
          <w:rFonts w:ascii="Arial" w:hAnsi="Arial" w:cs="Arial"/>
          <w:sz w:val="24"/>
          <w:szCs w:val="24"/>
          <w:lang w:val="es-ES"/>
        </w:rPr>
        <w:t xml:space="preserve">. Situación que se simplificó luego de la sanción de la Ley N° 27.541 que derogó el artículo 95 sobre los rendimientos producto de la colocación del capital en títulos valores. </w:t>
      </w:r>
    </w:p>
    <w:p w14:paraId="163FA206" w14:textId="77777777" w:rsidR="00C43B94" w:rsidRDefault="00C43B94" w:rsidP="00B335FA">
      <w:pPr>
        <w:jc w:val="both"/>
        <w:rPr>
          <w:rFonts w:ascii="Arial" w:hAnsi="Arial" w:cs="Arial"/>
          <w:sz w:val="24"/>
          <w:szCs w:val="24"/>
          <w:lang w:val="es-ES"/>
        </w:rPr>
      </w:pPr>
    </w:p>
    <w:p w14:paraId="22378E2F" w14:textId="2EE82840" w:rsidR="00C43B94" w:rsidRDefault="00C43B94" w:rsidP="00B335FA">
      <w:pPr>
        <w:jc w:val="both"/>
        <w:rPr>
          <w:rFonts w:ascii="Arial" w:hAnsi="Arial" w:cs="Arial"/>
          <w:sz w:val="24"/>
          <w:szCs w:val="24"/>
          <w:lang w:val="es-ES"/>
        </w:rPr>
      </w:pPr>
      <w:r>
        <w:rPr>
          <w:rFonts w:ascii="Arial" w:hAnsi="Arial" w:cs="Arial"/>
          <w:sz w:val="24"/>
          <w:szCs w:val="24"/>
          <w:lang w:val="es-ES"/>
        </w:rPr>
        <w:t xml:space="preserve">En consecuencia, surgen los siguientes quebrantos específicos: </w:t>
      </w:r>
    </w:p>
    <w:p w14:paraId="485657EC" w14:textId="77777777" w:rsidR="00C43B94" w:rsidRDefault="00C43B94" w:rsidP="00B335FA">
      <w:pPr>
        <w:jc w:val="both"/>
        <w:rPr>
          <w:rFonts w:ascii="Arial" w:hAnsi="Arial" w:cs="Arial"/>
          <w:sz w:val="24"/>
          <w:szCs w:val="24"/>
          <w:lang w:val="es-ES"/>
        </w:rPr>
      </w:pPr>
    </w:p>
    <w:p w14:paraId="3377D113" w14:textId="77777777" w:rsidR="00C43B94" w:rsidRPr="00A93896" w:rsidRDefault="00C43B94" w:rsidP="00B335FA">
      <w:pPr>
        <w:pStyle w:val="Prrafodelista"/>
        <w:numPr>
          <w:ilvl w:val="0"/>
          <w:numId w:val="6"/>
        </w:numPr>
        <w:jc w:val="both"/>
        <w:rPr>
          <w:rFonts w:ascii="Arial" w:hAnsi="Arial" w:cs="Arial"/>
          <w:sz w:val="24"/>
          <w:szCs w:val="24"/>
          <w:lang w:val="es-ES"/>
        </w:rPr>
      </w:pPr>
      <w:r w:rsidRPr="00A93896">
        <w:rPr>
          <w:rFonts w:ascii="Arial" w:hAnsi="Arial" w:cs="Arial"/>
          <w:sz w:val="24"/>
          <w:szCs w:val="24"/>
          <w:lang w:val="es-ES"/>
        </w:rPr>
        <w:t xml:space="preserve">el quebranto derivado de la enajenación de o de la transferencia de derechos sobre, inmuebles situados en la República Argentina (art.99 de la LIG), y </w:t>
      </w:r>
    </w:p>
    <w:p w14:paraId="169CA5AA" w14:textId="64CD2C88" w:rsidR="00C43B94" w:rsidRDefault="00C43B94" w:rsidP="00B335FA">
      <w:pPr>
        <w:pStyle w:val="Prrafodelista"/>
        <w:numPr>
          <w:ilvl w:val="0"/>
          <w:numId w:val="6"/>
        </w:numPr>
        <w:jc w:val="both"/>
        <w:rPr>
          <w:rFonts w:ascii="Arial" w:hAnsi="Arial" w:cs="Arial"/>
          <w:sz w:val="24"/>
          <w:szCs w:val="24"/>
          <w:lang w:val="es-ES"/>
        </w:rPr>
      </w:pPr>
      <w:r w:rsidRPr="00A93896">
        <w:rPr>
          <w:rFonts w:ascii="Arial" w:hAnsi="Arial" w:cs="Arial"/>
          <w:sz w:val="24"/>
          <w:szCs w:val="24"/>
          <w:lang w:val="es-ES"/>
        </w:rPr>
        <w:t>el quebranto derivado de operaciones de enajenación de acciones, valores representativos y certificados de depósito de acciones, cuotas y participaciones sociales -incluidas cuotapartes de fondos comunes de inversión y certificados de participación de fideicomisos financieros y cualquier otro derecho sobre fideicomisos y contratos similares-, monedas digitales, títulos, bonos y demás valores</w:t>
      </w:r>
      <w:r>
        <w:rPr>
          <w:rFonts w:ascii="Arial" w:hAnsi="Arial" w:cs="Arial"/>
          <w:sz w:val="24"/>
          <w:szCs w:val="24"/>
          <w:lang w:val="es-ES"/>
        </w:rPr>
        <w:t xml:space="preserve"> (art.98 de la LIG).</w:t>
      </w:r>
    </w:p>
    <w:p w14:paraId="2E3244A9" w14:textId="3869221D" w:rsidR="00C43B94" w:rsidRDefault="00C43B94" w:rsidP="00B335FA">
      <w:pPr>
        <w:pStyle w:val="Prrafodelista"/>
        <w:numPr>
          <w:ilvl w:val="0"/>
          <w:numId w:val="6"/>
        </w:numPr>
        <w:jc w:val="both"/>
        <w:rPr>
          <w:rFonts w:ascii="Arial" w:hAnsi="Arial" w:cs="Arial"/>
          <w:sz w:val="24"/>
          <w:szCs w:val="24"/>
          <w:lang w:val="es-ES"/>
        </w:rPr>
      </w:pPr>
      <w:r>
        <w:rPr>
          <w:rFonts w:ascii="Arial" w:hAnsi="Arial" w:cs="Arial"/>
          <w:sz w:val="24"/>
          <w:szCs w:val="24"/>
          <w:lang w:val="es-ES"/>
        </w:rPr>
        <w:t xml:space="preserve">Los quebrantos generales no son compensables con ganancias que tributen el Impuesto Cedular. </w:t>
      </w:r>
    </w:p>
    <w:p w14:paraId="128C237B" w14:textId="77777777" w:rsidR="00C43B94" w:rsidRDefault="00C43B94" w:rsidP="00B335FA">
      <w:pPr>
        <w:jc w:val="both"/>
        <w:rPr>
          <w:rFonts w:ascii="Arial" w:hAnsi="Arial" w:cs="Arial"/>
          <w:sz w:val="24"/>
          <w:szCs w:val="24"/>
          <w:lang w:val="es-ES"/>
        </w:rPr>
      </w:pPr>
    </w:p>
    <w:p w14:paraId="2539EC6B" w14:textId="1DEA8F51" w:rsidR="00C43B94" w:rsidRDefault="00C43B94" w:rsidP="00B335FA">
      <w:pPr>
        <w:jc w:val="both"/>
        <w:rPr>
          <w:rFonts w:ascii="Arial" w:hAnsi="Arial" w:cs="Arial"/>
          <w:sz w:val="24"/>
          <w:szCs w:val="24"/>
          <w:lang w:val="es-ES"/>
        </w:rPr>
      </w:pPr>
      <w:r>
        <w:rPr>
          <w:rFonts w:ascii="Arial" w:hAnsi="Arial" w:cs="Arial"/>
          <w:sz w:val="24"/>
          <w:szCs w:val="24"/>
          <w:lang w:val="es-ES"/>
        </w:rPr>
        <w:t xml:space="preserve">En relación a las operaciones sujetas al Impuesto a las Ganancias cedular, conforme el art. 101, a </w:t>
      </w:r>
      <w:r w:rsidRPr="00041F3D">
        <w:rPr>
          <w:rFonts w:ascii="Arial" w:hAnsi="Arial" w:cs="Arial"/>
          <w:sz w:val="24"/>
          <w:szCs w:val="24"/>
          <w:lang w:val="es-ES"/>
        </w:rPr>
        <w:t>efectos de la determinación de las ganancias, en todo aquello no específicamente regulado por este, se aplicarán supletoriamente, las disposiciones de los Títulos I y II de la ley</w:t>
      </w:r>
      <w:r>
        <w:rPr>
          <w:rFonts w:ascii="Arial" w:hAnsi="Arial" w:cs="Arial"/>
          <w:sz w:val="24"/>
          <w:szCs w:val="24"/>
          <w:lang w:val="es-ES"/>
        </w:rPr>
        <w:t>, que incluyen el art.25 referido a quebrantos. En consecuencia, los quebrantos específicos (cedulares) serán deducibles de ganancias de similar naturaleza de los 5 años siguientes y participan de las discusiones sobre la actualización por inflación, aspecto que tratamos en particular más adelante.</w:t>
      </w:r>
    </w:p>
    <w:p w14:paraId="7906F162" w14:textId="6F37EFB1" w:rsidR="00C43B94" w:rsidRDefault="00C43B94" w:rsidP="00B3682C">
      <w:pPr>
        <w:jc w:val="both"/>
        <w:rPr>
          <w:rFonts w:ascii="Arial" w:hAnsi="Arial" w:cs="Arial"/>
          <w:sz w:val="24"/>
          <w:szCs w:val="24"/>
          <w:lang w:val="es-ES"/>
        </w:rPr>
      </w:pPr>
    </w:p>
    <w:p w14:paraId="5CAA8869" w14:textId="219D2361" w:rsidR="00C43B94" w:rsidRDefault="00063D1E" w:rsidP="00B43C50">
      <w:pPr>
        <w:pStyle w:val="sangrianovedades"/>
        <w:spacing w:before="80" w:beforeAutospacing="0" w:after="0" w:afterAutospacing="0"/>
        <w:ind w:right="105"/>
        <w:jc w:val="both"/>
        <w:rPr>
          <w:rFonts w:ascii="Arial" w:eastAsia="Calibri" w:hAnsi="Arial" w:cs="Arial"/>
          <w:lang w:val="es-ES" w:eastAsia="en-US"/>
        </w:rPr>
      </w:pPr>
      <w:r w:rsidRPr="003C5118">
        <w:rPr>
          <w:rFonts w:ascii="Arial" w:eastAsia="Calibri" w:hAnsi="Arial" w:cs="Arial"/>
          <w:b/>
          <w:bCs/>
          <w:lang w:val="es-ES" w:eastAsia="en-US"/>
        </w:rPr>
        <w:t>Los sujetos empresa.</w:t>
      </w:r>
      <w:r>
        <w:rPr>
          <w:rFonts w:ascii="Arial" w:eastAsia="Calibri" w:hAnsi="Arial" w:cs="Arial"/>
          <w:lang w:val="es-ES" w:eastAsia="en-US"/>
        </w:rPr>
        <w:t xml:space="preserve"> </w:t>
      </w:r>
      <w:r w:rsidR="00C43B94" w:rsidRPr="00F650AF">
        <w:rPr>
          <w:rFonts w:ascii="Arial" w:eastAsia="Calibri" w:hAnsi="Arial" w:cs="Arial"/>
          <w:lang w:val="es-ES" w:eastAsia="en-US"/>
        </w:rPr>
        <w:t>Respecto de los sujetos comprendidos en el artículo 53, incisos a), b), c), d), e) y en su último párrafo, se considerarán como de naturaleza específica los quebrantos provenientes de:</w:t>
      </w:r>
    </w:p>
    <w:p w14:paraId="570A4FA9" w14:textId="77777777" w:rsidR="00C43B94" w:rsidRDefault="00C43B94" w:rsidP="00B43C50">
      <w:pPr>
        <w:pStyle w:val="sangrianovedades"/>
        <w:spacing w:before="80" w:beforeAutospacing="0" w:after="0" w:afterAutospacing="0"/>
        <w:ind w:right="105"/>
        <w:jc w:val="both"/>
        <w:rPr>
          <w:rFonts w:ascii="Arial" w:eastAsia="Calibri" w:hAnsi="Arial" w:cs="Arial"/>
          <w:lang w:val="es-ES" w:eastAsia="en-US"/>
        </w:rPr>
      </w:pPr>
    </w:p>
    <w:p w14:paraId="58E9A58B" w14:textId="79F4A980" w:rsidR="00C43B94" w:rsidRPr="00F650AF" w:rsidRDefault="00C43B94" w:rsidP="00F650AF">
      <w:pPr>
        <w:pStyle w:val="sangrianovedades"/>
        <w:spacing w:before="80" w:beforeAutospacing="0" w:after="0" w:afterAutospacing="0"/>
        <w:ind w:right="105"/>
        <w:jc w:val="both"/>
        <w:rPr>
          <w:rFonts w:ascii="Arial" w:eastAsia="Calibri" w:hAnsi="Arial" w:cs="Arial"/>
          <w:lang w:val="es-ES" w:eastAsia="en-US"/>
        </w:rPr>
      </w:pPr>
      <w:r w:rsidRPr="00F650AF">
        <w:rPr>
          <w:rFonts w:ascii="Arial" w:eastAsia="Calibri" w:hAnsi="Arial" w:cs="Arial"/>
          <w:lang w:val="es-ES" w:eastAsia="en-US"/>
        </w:rPr>
        <w:t>a) La enajenación de acciones, valores representativos y certificados de depósito de acciones y demás valores, cuotas y participaciones sociales -incluidas cuotapartes de fondos comunes de inversión y certificados de participación de fideicomisos financieros y cualquier otro derecho sobre fideicomisos y contratos similares-, monedas digitales, títulos, bonos y demás valores</w:t>
      </w:r>
      <w:r>
        <w:rPr>
          <w:rStyle w:val="Refdenotaalfinal"/>
          <w:rFonts w:ascii="Arial" w:eastAsia="Calibri" w:hAnsi="Arial" w:cs="Arial"/>
          <w:lang w:val="es-ES" w:eastAsia="en-US"/>
        </w:rPr>
        <w:endnoteReference w:id="9"/>
      </w:r>
      <w:r>
        <w:rPr>
          <w:rFonts w:ascii="Arial" w:eastAsia="Calibri" w:hAnsi="Arial" w:cs="Arial"/>
          <w:lang w:val="es-ES" w:eastAsia="en-US"/>
        </w:rPr>
        <w:t>.</w:t>
      </w:r>
    </w:p>
    <w:p w14:paraId="74487176" w14:textId="77777777" w:rsidR="00C43B94" w:rsidRDefault="00C43B94" w:rsidP="00B43C50">
      <w:pPr>
        <w:pStyle w:val="errepar1erfrancesnovedades"/>
        <w:spacing w:before="80" w:beforeAutospacing="0" w:after="0" w:afterAutospacing="0"/>
        <w:ind w:right="105"/>
        <w:jc w:val="both"/>
        <w:rPr>
          <w:rFonts w:ascii="Arial" w:eastAsia="Calibri" w:hAnsi="Arial" w:cs="Arial"/>
          <w:lang w:val="es-ES" w:eastAsia="en-US"/>
        </w:rPr>
      </w:pPr>
    </w:p>
    <w:p w14:paraId="22694B9A" w14:textId="38824F4A" w:rsidR="00C43B94" w:rsidRPr="00AD304E" w:rsidRDefault="00C43B94" w:rsidP="00F650AF">
      <w:pPr>
        <w:pStyle w:val="errepar1erfrancesnovedades"/>
        <w:spacing w:before="80" w:beforeAutospacing="0" w:after="0" w:afterAutospacing="0"/>
        <w:ind w:right="105"/>
        <w:jc w:val="both"/>
        <w:rPr>
          <w:rFonts w:ascii="Arial" w:hAnsi="Arial" w:cs="Arial"/>
          <w:lang w:val="es-ES"/>
        </w:rPr>
      </w:pPr>
      <w:r w:rsidRPr="00F650AF">
        <w:rPr>
          <w:rFonts w:ascii="Arial" w:eastAsia="Calibri" w:hAnsi="Arial" w:cs="Arial"/>
          <w:lang w:val="es-ES" w:eastAsia="en-US"/>
        </w:rPr>
        <w:t>b) La realización de las actividades a las que alude el segundo párrafo del artículo 73.</w:t>
      </w:r>
      <w:r>
        <w:rPr>
          <w:rFonts w:ascii="Arial" w:eastAsia="Calibri" w:hAnsi="Arial" w:cs="Arial"/>
          <w:lang w:val="es-ES" w:eastAsia="en-US"/>
        </w:rPr>
        <w:t xml:space="preserve"> Estas actividades son la explotación de juegos de azar en casinos (ruleta, punto y banca, blackjack, poker y/o cualquier otro juego autorizado) y de realización de apuestas a través de máquinas electrónicas de jugos de azar y/o de apuestas automatizadas (de resolución inmediata o no) </w:t>
      </w:r>
      <w:r w:rsidRPr="00F650AF">
        <w:rPr>
          <w:rFonts w:ascii="Arial" w:eastAsia="Calibri" w:hAnsi="Arial" w:cs="Arial"/>
          <w:lang w:val="es-ES" w:eastAsia="en-US"/>
        </w:rPr>
        <w:t>y/o a través de plataformas digitales</w:t>
      </w:r>
      <w:r>
        <w:rPr>
          <w:rFonts w:ascii="Arial" w:eastAsia="Calibri" w:hAnsi="Arial" w:cs="Arial"/>
          <w:lang w:val="es-ES" w:eastAsia="en-US"/>
        </w:rPr>
        <w:t>.</w:t>
      </w:r>
    </w:p>
    <w:p w14:paraId="666167D6" w14:textId="66D13423" w:rsidR="00C43B94" w:rsidRDefault="00C43B94" w:rsidP="00B3682C">
      <w:pPr>
        <w:jc w:val="both"/>
        <w:rPr>
          <w:rFonts w:ascii="Arial" w:hAnsi="Arial" w:cs="Arial"/>
          <w:sz w:val="24"/>
          <w:szCs w:val="24"/>
          <w:lang w:val="es-ES"/>
        </w:rPr>
      </w:pPr>
    </w:p>
    <w:p w14:paraId="02CA1B94" w14:textId="1FA5969B" w:rsidR="00C43B94" w:rsidRDefault="00C43B94" w:rsidP="00B3682C">
      <w:pPr>
        <w:jc w:val="both"/>
        <w:rPr>
          <w:rFonts w:ascii="Arial" w:hAnsi="Arial" w:cs="Arial"/>
          <w:sz w:val="24"/>
          <w:szCs w:val="24"/>
          <w:lang w:val="es-ES"/>
        </w:rPr>
      </w:pPr>
      <w:r>
        <w:rPr>
          <w:rFonts w:ascii="Arial" w:hAnsi="Arial" w:cs="Arial"/>
          <w:sz w:val="24"/>
          <w:szCs w:val="24"/>
          <w:lang w:val="es-ES"/>
        </w:rPr>
        <w:t xml:space="preserve">Asimismo, cualquiera fuera el sujeto que los obtenga, son considerados como de naturaleza específica: </w:t>
      </w:r>
    </w:p>
    <w:p w14:paraId="70EE20B8" w14:textId="77777777" w:rsidR="00C43B94" w:rsidRDefault="00C43B94" w:rsidP="001D4F8B">
      <w:pPr>
        <w:jc w:val="both"/>
        <w:rPr>
          <w:rFonts w:ascii="Arial" w:hAnsi="Arial" w:cs="Arial"/>
          <w:sz w:val="24"/>
          <w:szCs w:val="24"/>
          <w:lang w:val="es-ES"/>
        </w:rPr>
      </w:pPr>
    </w:p>
    <w:p w14:paraId="4671C6B6" w14:textId="259E4698" w:rsidR="00C43B94" w:rsidRPr="00F650AF" w:rsidRDefault="00C43B94" w:rsidP="001D4F8B">
      <w:pPr>
        <w:jc w:val="both"/>
        <w:rPr>
          <w:rFonts w:ascii="Arial" w:hAnsi="Arial" w:cs="Arial"/>
          <w:sz w:val="24"/>
          <w:szCs w:val="24"/>
          <w:lang w:val="es-ES"/>
        </w:rPr>
      </w:pPr>
      <w:r>
        <w:rPr>
          <w:rFonts w:ascii="Arial" w:hAnsi="Arial" w:cs="Arial"/>
          <w:sz w:val="24"/>
          <w:szCs w:val="24"/>
          <w:lang w:val="es-ES"/>
        </w:rPr>
        <w:t>a) l</w:t>
      </w:r>
      <w:r w:rsidRPr="00F650AF">
        <w:rPr>
          <w:rFonts w:ascii="Arial" w:hAnsi="Arial" w:cs="Arial"/>
          <w:sz w:val="24"/>
          <w:szCs w:val="24"/>
          <w:lang w:val="es-ES"/>
        </w:rPr>
        <w:t>os quebrantos generados por derechos y obligaciones emergentes de derechos y obligaciones emergentes de instrumentos derivados, a excepción de las operaciones de cobertura. A estos efectos, una transacción o contrato derivado se considerará como operación de cobertura si tiene por objeto reducir el efecto de las futuras fluctuaciones en precios o tasas de mercado, sobre los bienes, deudas y resultados de la o las actividades económicas principales.</w:t>
      </w:r>
    </w:p>
    <w:p w14:paraId="0D5D379F" w14:textId="77777777" w:rsidR="00C43B94" w:rsidRPr="00F650AF" w:rsidRDefault="00C43B94" w:rsidP="00F650AF">
      <w:pPr>
        <w:jc w:val="both"/>
        <w:rPr>
          <w:rFonts w:ascii="Arial" w:hAnsi="Arial" w:cs="Arial"/>
          <w:sz w:val="24"/>
          <w:szCs w:val="24"/>
          <w:lang w:val="es-ES"/>
        </w:rPr>
      </w:pPr>
    </w:p>
    <w:p w14:paraId="3F899795" w14:textId="5162FA77" w:rsidR="00C43B94" w:rsidRDefault="00C43B94" w:rsidP="001D4F8B">
      <w:pPr>
        <w:jc w:val="both"/>
        <w:rPr>
          <w:rFonts w:ascii="Arial" w:hAnsi="Arial" w:cs="Arial"/>
          <w:sz w:val="24"/>
          <w:szCs w:val="24"/>
          <w:lang w:val="es-ES"/>
        </w:rPr>
      </w:pPr>
      <w:r w:rsidRPr="00F650AF">
        <w:rPr>
          <w:rFonts w:ascii="Arial" w:hAnsi="Arial" w:cs="Arial"/>
          <w:sz w:val="24"/>
          <w:szCs w:val="24"/>
          <w:lang w:val="es-ES"/>
        </w:rPr>
        <w:t xml:space="preserve">b) </w:t>
      </w:r>
      <w:r>
        <w:rPr>
          <w:rFonts w:ascii="Arial" w:hAnsi="Arial" w:cs="Arial"/>
          <w:sz w:val="24"/>
          <w:szCs w:val="24"/>
          <w:lang w:val="es-ES"/>
        </w:rPr>
        <w:t>l</w:t>
      </w:r>
      <w:r w:rsidRPr="00F650AF">
        <w:rPr>
          <w:rFonts w:ascii="Arial" w:hAnsi="Arial" w:cs="Arial"/>
          <w:sz w:val="24"/>
          <w:szCs w:val="24"/>
          <w:lang w:val="es-ES"/>
        </w:rPr>
        <w:t>os quebrantos experimentados a raíz de actividades vinculadas con la exploración y explotación de recursos naturales vivos y no vivos, desarrolladas en la plataforma continental y en la zona económica exclusiva de la República Argentina incluidas las islas artificiales, instalaciones y estructuras establecidas en dicha zona, solo podrán compensarse con ganancias netas de fuente argentina</w:t>
      </w:r>
      <w:r>
        <w:rPr>
          <w:rFonts w:ascii="Arial" w:hAnsi="Arial" w:cs="Arial"/>
          <w:sz w:val="24"/>
          <w:szCs w:val="24"/>
          <w:lang w:val="es-ES"/>
        </w:rPr>
        <w:t xml:space="preserve">. </w:t>
      </w:r>
    </w:p>
    <w:p w14:paraId="1FB2CB78" w14:textId="77777777" w:rsidR="00C43B94" w:rsidRDefault="00C43B94" w:rsidP="001D4F8B">
      <w:pPr>
        <w:jc w:val="both"/>
        <w:rPr>
          <w:rFonts w:ascii="Arial" w:hAnsi="Arial" w:cs="Arial"/>
          <w:sz w:val="24"/>
          <w:szCs w:val="24"/>
          <w:lang w:val="es-ES"/>
        </w:rPr>
      </w:pPr>
    </w:p>
    <w:p w14:paraId="37F6BE9D" w14:textId="2207E5D8" w:rsidR="00C43B94" w:rsidRPr="004D386F" w:rsidRDefault="00C43B94" w:rsidP="004D386F">
      <w:pPr>
        <w:jc w:val="both"/>
        <w:rPr>
          <w:rFonts w:ascii="Arial" w:hAnsi="Arial" w:cs="Arial"/>
          <w:sz w:val="24"/>
          <w:szCs w:val="24"/>
          <w:lang w:val="es-ES"/>
        </w:rPr>
      </w:pPr>
      <w:r w:rsidRPr="004D386F">
        <w:rPr>
          <w:rFonts w:ascii="Arial" w:hAnsi="Arial" w:cs="Arial"/>
          <w:sz w:val="24"/>
          <w:szCs w:val="24"/>
          <w:lang w:val="es-ES"/>
        </w:rPr>
        <w:t>Aquellos quebrantos de fuente argentina que no califican como específicos son considerados quebrantos generales de fuente argentina, y en tal caso compensables contra toda ganancia gravada que obtenga el contribuyente (excluyendo las ganancias alcanzadas por el impuesto a las ganancias cedular- art</w:t>
      </w:r>
      <w:r>
        <w:rPr>
          <w:rFonts w:ascii="Arial" w:hAnsi="Arial" w:cs="Arial"/>
          <w:sz w:val="24"/>
          <w:szCs w:val="24"/>
          <w:lang w:val="es-ES"/>
        </w:rPr>
        <w:t>. 98 y 99 de la LIG)</w:t>
      </w:r>
      <w:r w:rsidRPr="004D386F">
        <w:rPr>
          <w:rFonts w:ascii="Arial" w:hAnsi="Arial" w:cs="Arial"/>
          <w:sz w:val="24"/>
          <w:szCs w:val="24"/>
          <w:lang w:val="es-ES"/>
        </w:rPr>
        <w:t>. En cambio, los quebrantos específicos solo se pueden compensar contra ganancias futuras de igual fuente y origen o naturaleza.</w:t>
      </w:r>
    </w:p>
    <w:p w14:paraId="0FFB6D8C" w14:textId="77777777" w:rsidR="00C43B94" w:rsidRPr="00203017" w:rsidRDefault="00C43B94" w:rsidP="00CA60AF">
      <w:pPr>
        <w:jc w:val="both"/>
        <w:rPr>
          <w:rFonts w:ascii="Arial" w:hAnsi="Arial" w:cs="Arial"/>
          <w:sz w:val="24"/>
          <w:szCs w:val="24"/>
          <w:lang w:val="es-ES"/>
        </w:rPr>
      </w:pPr>
    </w:p>
    <w:p w14:paraId="729B67C6" w14:textId="1498F5B9" w:rsidR="00C43B94" w:rsidRDefault="00C43B94" w:rsidP="00CA60AF">
      <w:pPr>
        <w:jc w:val="both"/>
        <w:rPr>
          <w:rFonts w:ascii="Arial" w:hAnsi="Arial" w:cs="Arial"/>
          <w:sz w:val="24"/>
          <w:szCs w:val="24"/>
          <w:lang w:val="es-ES"/>
        </w:rPr>
      </w:pPr>
      <w:r w:rsidRPr="00203017">
        <w:rPr>
          <w:rFonts w:ascii="Arial" w:hAnsi="Arial" w:cs="Arial"/>
          <w:sz w:val="24"/>
          <w:szCs w:val="24"/>
          <w:lang w:val="es-ES"/>
        </w:rPr>
        <w:t xml:space="preserve">Los quebrantos derivados de operaciones </w:t>
      </w:r>
      <w:r>
        <w:rPr>
          <w:rFonts w:ascii="Arial" w:hAnsi="Arial" w:cs="Arial"/>
          <w:sz w:val="24"/>
          <w:szCs w:val="24"/>
          <w:lang w:val="es-ES"/>
        </w:rPr>
        <w:t xml:space="preserve">generadoras de ganancias </w:t>
      </w:r>
      <w:r w:rsidRPr="00203017">
        <w:rPr>
          <w:rFonts w:ascii="Arial" w:hAnsi="Arial" w:cs="Arial"/>
          <w:sz w:val="24"/>
          <w:szCs w:val="24"/>
          <w:lang w:val="es-ES"/>
        </w:rPr>
        <w:t>de fuente extranjera</w:t>
      </w:r>
      <w:r>
        <w:rPr>
          <w:rFonts w:ascii="Arial" w:hAnsi="Arial" w:cs="Arial"/>
          <w:sz w:val="24"/>
          <w:szCs w:val="24"/>
          <w:lang w:val="es-ES"/>
        </w:rPr>
        <w:t xml:space="preserve"> </w:t>
      </w:r>
      <w:r w:rsidRPr="00203017">
        <w:rPr>
          <w:rFonts w:ascii="Arial" w:hAnsi="Arial" w:cs="Arial"/>
          <w:sz w:val="24"/>
          <w:szCs w:val="24"/>
          <w:lang w:val="es-ES"/>
        </w:rPr>
        <w:t>son compensables solo contra ganancias de fuente extranjera obtenida dentro del ejercicio y el remanente con utilidades de fuente extranjera obtenidas en los siguientes 5 años computados conforme lo dispuesto por el Código Civil y Comercial.</w:t>
      </w:r>
    </w:p>
    <w:p w14:paraId="6D06D336" w14:textId="39E1BB73" w:rsidR="00C43B94" w:rsidRDefault="00C43B94" w:rsidP="00CA60AF">
      <w:pPr>
        <w:jc w:val="both"/>
        <w:rPr>
          <w:rFonts w:ascii="Arial" w:hAnsi="Arial" w:cs="Arial"/>
          <w:sz w:val="24"/>
          <w:szCs w:val="24"/>
          <w:lang w:val="es-ES"/>
        </w:rPr>
      </w:pPr>
    </w:p>
    <w:p w14:paraId="138E5C03" w14:textId="4B178104" w:rsidR="00C43B94" w:rsidRDefault="00C43B94" w:rsidP="00F14DD0">
      <w:pPr>
        <w:jc w:val="both"/>
        <w:rPr>
          <w:rFonts w:ascii="Arial" w:hAnsi="Arial" w:cs="Arial"/>
          <w:sz w:val="24"/>
          <w:szCs w:val="24"/>
          <w:lang w:val="es-ES"/>
        </w:rPr>
      </w:pPr>
      <w:r>
        <w:rPr>
          <w:rFonts w:ascii="Arial" w:hAnsi="Arial" w:cs="Arial"/>
          <w:sz w:val="24"/>
          <w:szCs w:val="24"/>
          <w:lang w:val="es-ES"/>
        </w:rPr>
        <w:t xml:space="preserve">De acuerdo con el artículo 131 de la LIG para </w:t>
      </w:r>
      <w:r w:rsidRPr="00420F0E">
        <w:rPr>
          <w:rFonts w:ascii="Arial" w:hAnsi="Arial" w:cs="Arial"/>
          <w:sz w:val="24"/>
          <w:szCs w:val="24"/>
          <w:lang w:val="es-ES"/>
        </w:rPr>
        <w:t>establecer la ganancia neta de fuente extranjera se compensarán los resultados obtenidos dentro de cada una y entre las distintas categorías, considerando a tal efecto los resultados provenientes de todas las fuentes ubicadas en el extranjero y los provenientes de los establecimientos permanentes indicados en el artículo 125.</w:t>
      </w:r>
    </w:p>
    <w:p w14:paraId="3BDAB918" w14:textId="77777777" w:rsidR="00C43B94" w:rsidRDefault="00C43B94" w:rsidP="00F14DD0">
      <w:pPr>
        <w:jc w:val="both"/>
        <w:rPr>
          <w:rFonts w:ascii="Arial" w:hAnsi="Arial" w:cs="Arial"/>
          <w:sz w:val="24"/>
          <w:szCs w:val="24"/>
          <w:lang w:val="es-ES"/>
        </w:rPr>
      </w:pPr>
    </w:p>
    <w:p w14:paraId="789DFBC7" w14:textId="5672E27E" w:rsidR="00C43B94" w:rsidRDefault="00C43B94" w:rsidP="00F14DD0">
      <w:pPr>
        <w:jc w:val="both"/>
        <w:rPr>
          <w:rFonts w:ascii="Arial" w:hAnsi="Arial" w:cs="Arial"/>
          <w:sz w:val="24"/>
          <w:szCs w:val="24"/>
          <w:lang w:val="es-ES"/>
        </w:rPr>
      </w:pPr>
      <w:r>
        <w:rPr>
          <w:rFonts w:ascii="Arial" w:hAnsi="Arial" w:cs="Arial"/>
          <w:sz w:val="24"/>
          <w:szCs w:val="24"/>
          <w:lang w:val="es-ES"/>
        </w:rPr>
        <w:t>Si la compensación mencionada da</w:t>
      </w:r>
      <w:r w:rsidRPr="00F650AF">
        <w:rPr>
          <w:rFonts w:ascii="Arial" w:hAnsi="Arial" w:cs="Arial"/>
          <w:sz w:val="24"/>
          <w:szCs w:val="24"/>
          <w:lang w:val="es-ES"/>
        </w:rPr>
        <w:t xml:space="preserve"> como resultado una pérdida, esta, actualizada en la forma establecida en el undécimo párrafo del artículo 25, podrá deducirse de las ganancias netas de fuente extranjera que se obtengan en los cinco (5) años inmediatos siguientes, computados de acuerdo con lo previsto en el Código Civil y Comercial de la Nación.</w:t>
      </w:r>
    </w:p>
    <w:p w14:paraId="6CE33CF5" w14:textId="77777777" w:rsidR="00C43B94" w:rsidRDefault="00C43B94" w:rsidP="00F14DD0">
      <w:pPr>
        <w:jc w:val="both"/>
        <w:rPr>
          <w:rFonts w:ascii="Arial" w:hAnsi="Arial" w:cs="Arial"/>
          <w:sz w:val="24"/>
          <w:szCs w:val="24"/>
          <w:lang w:val="es-ES"/>
        </w:rPr>
      </w:pPr>
    </w:p>
    <w:p w14:paraId="11EC0978" w14:textId="47B9BA3A" w:rsidR="00C43B94" w:rsidRDefault="00C43B94" w:rsidP="00F14DD0">
      <w:pPr>
        <w:jc w:val="both"/>
        <w:rPr>
          <w:rFonts w:ascii="Arial" w:hAnsi="Arial" w:cs="Arial"/>
          <w:sz w:val="24"/>
          <w:szCs w:val="24"/>
          <w:lang w:val="es-ES"/>
        </w:rPr>
      </w:pPr>
      <w:r w:rsidRPr="00F650AF">
        <w:rPr>
          <w:rFonts w:ascii="Arial" w:hAnsi="Arial" w:cs="Arial"/>
          <w:sz w:val="24"/>
          <w:szCs w:val="24"/>
          <w:lang w:val="es-ES"/>
        </w:rPr>
        <w:t>Si de la referida compensación o después de la deducción,</w:t>
      </w:r>
      <w:r>
        <w:rPr>
          <w:rFonts w:ascii="Arial" w:hAnsi="Arial" w:cs="Arial"/>
          <w:sz w:val="24"/>
          <w:szCs w:val="24"/>
          <w:lang w:val="es-ES"/>
        </w:rPr>
        <w:t xml:space="preserve"> según el caso,</w:t>
      </w:r>
      <w:r w:rsidRPr="00F650AF">
        <w:rPr>
          <w:rFonts w:ascii="Arial" w:hAnsi="Arial" w:cs="Arial"/>
          <w:sz w:val="24"/>
          <w:szCs w:val="24"/>
          <w:lang w:val="es-ES"/>
        </w:rPr>
        <w:t xml:space="preserve"> surgiera una ganancia neta, se imputarán contra ella las pérdidas de fuente argentina -</w:t>
      </w:r>
      <w:r w:rsidRPr="003C5118">
        <w:rPr>
          <w:rFonts w:ascii="Arial" w:hAnsi="Arial" w:cs="Arial"/>
          <w:sz w:val="24"/>
          <w:szCs w:val="24"/>
          <w:u w:val="single"/>
          <w:lang w:val="es-ES"/>
        </w:rPr>
        <w:t>en su caso, debidamente actualizadas</w:t>
      </w:r>
      <w:r w:rsidRPr="00F650AF">
        <w:rPr>
          <w:rFonts w:ascii="Arial" w:hAnsi="Arial" w:cs="Arial"/>
          <w:sz w:val="24"/>
          <w:szCs w:val="24"/>
          <w:lang w:val="es-ES"/>
        </w:rPr>
        <w:t>- que resulten deducibles de acuerdo con el noveno párrafo del citado artículo 25, cuya imputación a la ganancia neta de fuente argentina del mismo año fiscal no hubiese resultado posible.</w:t>
      </w:r>
    </w:p>
    <w:p w14:paraId="3B2A1664" w14:textId="77777777" w:rsidR="00C43B94" w:rsidRDefault="00C43B94" w:rsidP="00F14DD0">
      <w:pPr>
        <w:jc w:val="both"/>
        <w:rPr>
          <w:rFonts w:ascii="Arial" w:hAnsi="Arial" w:cs="Arial"/>
          <w:sz w:val="24"/>
          <w:szCs w:val="24"/>
          <w:lang w:val="es-ES"/>
        </w:rPr>
      </w:pPr>
    </w:p>
    <w:p w14:paraId="1DFEAD9C" w14:textId="171DFF2D" w:rsidR="00C43B94" w:rsidRDefault="00C43B94" w:rsidP="00F14DD0">
      <w:pPr>
        <w:jc w:val="both"/>
        <w:rPr>
          <w:rFonts w:ascii="Arial" w:hAnsi="Arial" w:cs="Arial"/>
          <w:sz w:val="24"/>
          <w:szCs w:val="24"/>
          <w:lang w:val="es-ES"/>
        </w:rPr>
      </w:pPr>
      <w:r>
        <w:rPr>
          <w:rFonts w:ascii="Arial" w:hAnsi="Arial" w:cs="Arial"/>
          <w:sz w:val="24"/>
          <w:szCs w:val="24"/>
          <w:lang w:val="es-ES"/>
        </w:rPr>
        <w:t>En materia de rentas de fuente extranjera también se prevén casos de cedularización de quebrantos</w:t>
      </w:r>
      <w:r w:rsidR="009E27E1">
        <w:rPr>
          <w:rFonts w:ascii="Arial" w:hAnsi="Arial" w:cs="Arial"/>
          <w:sz w:val="24"/>
          <w:szCs w:val="24"/>
          <w:lang w:val="es-ES"/>
        </w:rPr>
        <w:t>, generando una mayor restricción, conforme las siguientes pautas</w:t>
      </w:r>
      <w:r>
        <w:rPr>
          <w:rFonts w:ascii="Arial" w:hAnsi="Arial" w:cs="Arial"/>
          <w:sz w:val="24"/>
          <w:szCs w:val="24"/>
          <w:lang w:val="es-ES"/>
        </w:rPr>
        <w:t>.</w:t>
      </w:r>
    </w:p>
    <w:p w14:paraId="7AB75B3D" w14:textId="77777777" w:rsidR="00C43B94" w:rsidRDefault="00C43B94" w:rsidP="00F14DD0">
      <w:pPr>
        <w:jc w:val="both"/>
        <w:rPr>
          <w:rFonts w:ascii="Arial" w:hAnsi="Arial" w:cs="Arial"/>
          <w:sz w:val="24"/>
          <w:szCs w:val="24"/>
          <w:lang w:val="es-ES"/>
        </w:rPr>
      </w:pPr>
    </w:p>
    <w:p w14:paraId="00DF1A4C" w14:textId="45FF178E" w:rsidR="00C43B94" w:rsidRDefault="00C43B94" w:rsidP="00F14DD0">
      <w:pPr>
        <w:jc w:val="both"/>
        <w:rPr>
          <w:rFonts w:ascii="Arial" w:hAnsi="Arial" w:cs="Arial"/>
          <w:sz w:val="24"/>
          <w:szCs w:val="24"/>
          <w:lang w:val="es-ES"/>
        </w:rPr>
      </w:pPr>
      <w:r>
        <w:rPr>
          <w:rFonts w:ascii="Arial" w:hAnsi="Arial" w:cs="Arial"/>
          <w:sz w:val="24"/>
          <w:szCs w:val="24"/>
          <w:lang w:val="es-ES"/>
        </w:rPr>
        <w:t>L</w:t>
      </w:r>
      <w:r w:rsidRPr="00F650AF">
        <w:rPr>
          <w:rFonts w:ascii="Arial" w:hAnsi="Arial" w:cs="Arial"/>
          <w:sz w:val="24"/>
          <w:szCs w:val="24"/>
          <w:lang w:val="es-ES"/>
        </w:rPr>
        <w:t xml:space="preserve">os quebrantos </w:t>
      </w:r>
      <w:r w:rsidR="00F974CC">
        <w:rPr>
          <w:rFonts w:ascii="Arial" w:hAnsi="Arial" w:cs="Arial"/>
          <w:sz w:val="24"/>
          <w:szCs w:val="24"/>
          <w:lang w:val="es-ES"/>
        </w:rPr>
        <w:t xml:space="preserve">de fuente extranjera </w:t>
      </w:r>
      <w:r w:rsidRPr="00F650AF">
        <w:rPr>
          <w:rFonts w:ascii="Arial" w:hAnsi="Arial" w:cs="Arial"/>
          <w:sz w:val="24"/>
          <w:szCs w:val="24"/>
          <w:lang w:val="es-ES"/>
        </w:rPr>
        <w:t xml:space="preserve">derivados de la enajenación de acciones, valores representativos y certificados de depósito de acciones y demás valores, cuotas y participaciones sociales -incluyendo fondos comunes de inversión o entidades con otra denominación que cumplan iguales funciones y fideicomisos o contratos similares-, monedas digitales, títulos, bonos y demás valores, cualquiera fuera el sujeto que los experimente, </w:t>
      </w:r>
      <w:r>
        <w:rPr>
          <w:rFonts w:ascii="Arial" w:hAnsi="Arial" w:cs="Arial"/>
          <w:sz w:val="24"/>
          <w:szCs w:val="24"/>
          <w:lang w:val="es-ES"/>
        </w:rPr>
        <w:t xml:space="preserve">son </w:t>
      </w:r>
      <w:r w:rsidRPr="00F650AF">
        <w:rPr>
          <w:rFonts w:ascii="Arial" w:hAnsi="Arial" w:cs="Arial"/>
          <w:sz w:val="24"/>
          <w:szCs w:val="24"/>
          <w:lang w:val="es-ES"/>
        </w:rPr>
        <w:t>considerados de naturaleza específica y solo podrán computarse contra las utilidades netas de la misma fuente y que provengan de igual tipo de operaciones, en los ejercicios o años fiscales que se experimentaron las pérdidas o en los cinco (5) años inmediatos siguientes, computados de acuerdo a lo dispuesto en el Código Civil y Comercial de la Nación.</w:t>
      </w:r>
    </w:p>
    <w:p w14:paraId="514D2607" w14:textId="77777777" w:rsidR="00C43B94" w:rsidRDefault="00C43B94" w:rsidP="00F14DD0">
      <w:pPr>
        <w:jc w:val="both"/>
        <w:rPr>
          <w:rFonts w:ascii="Arial" w:hAnsi="Arial" w:cs="Arial"/>
          <w:sz w:val="24"/>
          <w:szCs w:val="24"/>
          <w:lang w:val="es-ES"/>
        </w:rPr>
      </w:pPr>
    </w:p>
    <w:p w14:paraId="6A387B34" w14:textId="76668DAD" w:rsidR="00C43B94" w:rsidRPr="00F650AF" w:rsidRDefault="00C43B94" w:rsidP="00F650AF">
      <w:pPr>
        <w:jc w:val="both"/>
        <w:rPr>
          <w:rFonts w:ascii="Arial" w:hAnsi="Arial" w:cs="Arial"/>
          <w:sz w:val="24"/>
          <w:szCs w:val="24"/>
          <w:lang w:val="es-ES"/>
        </w:rPr>
      </w:pPr>
      <w:r w:rsidRPr="009E27E1">
        <w:rPr>
          <w:rFonts w:ascii="Arial" w:hAnsi="Arial" w:cs="Arial"/>
          <w:sz w:val="24"/>
          <w:szCs w:val="24"/>
          <w:lang w:val="es-ES"/>
        </w:rPr>
        <w:t>Los quebrantos de fuente argentina originados por rentas provenientes de las inversiones -incluidas las monedas digitales- y operaciones a que hace referencia el Capítulo II del Título IV de esta ley, no pueden imputarse contra ganancias netas de fuente extranjera provenientes de la enajenación del mismo tipo de inversiones y operaciones ni ser objeto de la deducción prevista en el tercer párrafo del artículo 131.</w:t>
      </w:r>
    </w:p>
    <w:p w14:paraId="4C927D90" w14:textId="77777777" w:rsidR="00C43B94" w:rsidRDefault="00C43B94" w:rsidP="00CA60AF">
      <w:pPr>
        <w:jc w:val="both"/>
        <w:rPr>
          <w:rFonts w:ascii="Arial" w:hAnsi="Arial" w:cs="Arial"/>
          <w:sz w:val="24"/>
          <w:szCs w:val="24"/>
          <w:lang w:val="es-ES"/>
        </w:rPr>
      </w:pPr>
    </w:p>
    <w:p w14:paraId="4D07475E" w14:textId="2BE6B234" w:rsidR="00C43B94" w:rsidRPr="002A7BF1" w:rsidRDefault="009719CB" w:rsidP="00933C5B">
      <w:pPr>
        <w:jc w:val="both"/>
        <w:rPr>
          <w:rFonts w:ascii="Arial" w:hAnsi="Arial" w:cs="Arial"/>
          <w:sz w:val="24"/>
          <w:szCs w:val="24"/>
          <w:lang w:val="es-ES"/>
        </w:rPr>
      </w:pPr>
      <w:r w:rsidRPr="00592C47">
        <w:rPr>
          <w:rFonts w:ascii="Arial" w:hAnsi="Arial" w:cs="Arial"/>
          <w:b/>
          <w:bCs/>
          <w:sz w:val="24"/>
          <w:szCs w:val="24"/>
          <w:lang w:val="es-ES"/>
        </w:rPr>
        <w:t>Los quebrantos de fuente extranjera.</w:t>
      </w:r>
      <w:r w:rsidRPr="00592C47">
        <w:rPr>
          <w:rFonts w:ascii="Arial" w:hAnsi="Arial" w:cs="Arial"/>
          <w:sz w:val="24"/>
          <w:szCs w:val="24"/>
          <w:lang w:val="es-ES"/>
        </w:rPr>
        <w:t xml:space="preserve"> </w:t>
      </w:r>
      <w:r w:rsidR="00C43B94" w:rsidRPr="00592C47">
        <w:rPr>
          <w:rFonts w:ascii="Arial" w:hAnsi="Arial" w:cs="Arial"/>
          <w:sz w:val="24"/>
          <w:szCs w:val="24"/>
          <w:lang w:val="es-ES"/>
        </w:rPr>
        <w:t xml:space="preserve">La restricción en el </w:t>
      </w:r>
      <w:r w:rsidR="002A7BF1" w:rsidRPr="00592C47">
        <w:rPr>
          <w:rFonts w:ascii="Arial" w:hAnsi="Arial" w:cs="Arial"/>
          <w:sz w:val="24"/>
          <w:szCs w:val="24"/>
          <w:lang w:val="es-ES"/>
        </w:rPr>
        <w:t>cómputo</w:t>
      </w:r>
      <w:r w:rsidR="00C43B94" w:rsidRPr="00592C47">
        <w:rPr>
          <w:rFonts w:ascii="Arial" w:hAnsi="Arial" w:cs="Arial"/>
          <w:sz w:val="24"/>
          <w:szCs w:val="24"/>
          <w:lang w:val="es-ES"/>
        </w:rPr>
        <w:t xml:space="preserve"> de quebrantos de fuente extranjero entendemos que tiene una explicación </w:t>
      </w:r>
      <w:r w:rsidR="002A7BF1" w:rsidRPr="00592C47">
        <w:rPr>
          <w:rFonts w:ascii="Arial" w:hAnsi="Arial" w:cs="Arial"/>
          <w:sz w:val="24"/>
          <w:szCs w:val="24"/>
          <w:lang w:val="es-ES"/>
        </w:rPr>
        <w:t>de fiscalización y verificación</w:t>
      </w:r>
      <w:r w:rsidR="00C43B94" w:rsidRPr="00592C47">
        <w:rPr>
          <w:rFonts w:ascii="Arial" w:hAnsi="Arial" w:cs="Arial"/>
          <w:sz w:val="24"/>
          <w:szCs w:val="24"/>
          <w:lang w:val="es-ES"/>
        </w:rPr>
        <w:t xml:space="preserve">, pues el criterio de vinculación basado en la residencia del sujeto no justifica </w:t>
      </w:r>
      <w:r w:rsidRPr="00592C47">
        <w:rPr>
          <w:rFonts w:ascii="Arial" w:hAnsi="Arial" w:cs="Arial"/>
          <w:sz w:val="24"/>
          <w:szCs w:val="24"/>
          <w:lang w:val="es-ES"/>
        </w:rPr>
        <w:t>la</w:t>
      </w:r>
      <w:r w:rsidR="00C43B94" w:rsidRPr="00592C47">
        <w:rPr>
          <w:rFonts w:ascii="Arial" w:hAnsi="Arial" w:cs="Arial"/>
          <w:sz w:val="24"/>
          <w:szCs w:val="24"/>
          <w:lang w:val="es-ES"/>
        </w:rPr>
        <w:t xml:space="preserve"> segregación de los mismos. Es un criterio originado por la ley 24073 (13.04.1992) que establece la segregación, en una suerte de continuidad con años anteriores en los que s</w:t>
      </w:r>
      <w:r w:rsidR="002A7BF1" w:rsidRPr="00592C47">
        <w:rPr>
          <w:rFonts w:ascii="Arial" w:hAnsi="Arial" w:cs="Arial"/>
          <w:sz w:val="24"/>
          <w:szCs w:val="24"/>
          <w:lang w:val="es-ES"/>
        </w:rPr>
        <w:t>ó</w:t>
      </w:r>
      <w:r w:rsidR="00C43B94" w:rsidRPr="00592C47">
        <w:rPr>
          <w:rFonts w:ascii="Arial" w:hAnsi="Arial" w:cs="Arial"/>
          <w:sz w:val="24"/>
          <w:szCs w:val="24"/>
          <w:lang w:val="es-ES"/>
        </w:rPr>
        <w:t xml:space="preserve">lo se alcanzaban las rentas de fuente argentina y en consecuencia se justificaba la exclusión de los quebrantos vinculados con operaciones de fuente extranjera. </w:t>
      </w:r>
    </w:p>
    <w:p w14:paraId="47B6C0A6" w14:textId="77777777" w:rsidR="00C43B94" w:rsidRPr="00592C47" w:rsidRDefault="00C43B94" w:rsidP="00CA60AF">
      <w:pPr>
        <w:jc w:val="both"/>
        <w:rPr>
          <w:rFonts w:ascii="Arial" w:hAnsi="Arial" w:cs="Arial"/>
          <w:sz w:val="24"/>
          <w:szCs w:val="24"/>
          <w:lang w:val="es-ES"/>
        </w:rPr>
      </w:pPr>
    </w:p>
    <w:p w14:paraId="34C3C881" w14:textId="607895B0" w:rsidR="00C43B94" w:rsidRPr="00592C47" w:rsidRDefault="00C43B94" w:rsidP="00CA60AF">
      <w:pPr>
        <w:jc w:val="both"/>
        <w:rPr>
          <w:rFonts w:ascii="Arial" w:hAnsi="Arial" w:cs="Arial"/>
          <w:sz w:val="24"/>
          <w:szCs w:val="24"/>
          <w:lang w:val="es-ES"/>
        </w:rPr>
      </w:pPr>
      <w:r w:rsidRPr="00592C47">
        <w:rPr>
          <w:rFonts w:ascii="Arial" w:hAnsi="Arial" w:cs="Arial"/>
          <w:sz w:val="24"/>
          <w:szCs w:val="24"/>
          <w:lang w:val="es-ES"/>
        </w:rPr>
        <w:t xml:space="preserve">El sujeto residente argentino está sujeto en base a la renta mundial y en </w:t>
      </w:r>
      <w:r w:rsidR="00592C47" w:rsidRPr="00592C47">
        <w:rPr>
          <w:rFonts w:ascii="Arial" w:hAnsi="Arial" w:cs="Arial"/>
          <w:sz w:val="24"/>
          <w:szCs w:val="24"/>
          <w:lang w:val="es-ES"/>
        </w:rPr>
        <w:t>su determinación</w:t>
      </w:r>
      <w:r w:rsidRPr="00592C47">
        <w:rPr>
          <w:rFonts w:ascii="Arial" w:hAnsi="Arial" w:cs="Arial"/>
          <w:sz w:val="24"/>
          <w:szCs w:val="24"/>
          <w:lang w:val="es-ES"/>
        </w:rPr>
        <w:t xml:space="preserve"> se suma o resta el resultado de fuente extranjera, sin generar un efecto diferente según el signo del resultado de fuente extranjera. El criterio adoptado </w:t>
      </w:r>
      <w:r w:rsidR="002B79B9" w:rsidRPr="00592C47">
        <w:rPr>
          <w:rFonts w:ascii="Arial" w:hAnsi="Arial" w:cs="Arial"/>
          <w:sz w:val="24"/>
          <w:szCs w:val="24"/>
          <w:lang w:val="es-ES"/>
        </w:rPr>
        <w:t>es contrario al principio de equidad tributaria basado en la real medida de capacidad de pago del sujeto pasivo.</w:t>
      </w:r>
    </w:p>
    <w:p w14:paraId="68F35844" w14:textId="77777777" w:rsidR="00C43B94" w:rsidRPr="00592C47" w:rsidRDefault="00C43B94" w:rsidP="00CA60AF">
      <w:pPr>
        <w:jc w:val="both"/>
        <w:rPr>
          <w:rFonts w:ascii="Arial" w:hAnsi="Arial" w:cs="Arial"/>
          <w:sz w:val="24"/>
          <w:szCs w:val="24"/>
          <w:lang w:val="es-ES"/>
        </w:rPr>
      </w:pPr>
    </w:p>
    <w:p w14:paraId="6F702C47" w14:textId="475D7D30" w:rsidR="00C43B94" w:rsidRDefault="00C43B94" w:rsidP="00CA60AF">
      <w:pPr>
        <w:jc w:val="both"/>
        <w:rPr>
          <w:rFonts w:ascii="Arial" w:hAnsi="Arial" w:cs="Arial"/>
          <w:sz w:val="24"/>
          <w:szCs w:val="24"/>
          <w:lang w:val="es-ES"/>
        </w:rPr>
      </w:pPr>
      <w:r w:rsidRPr="00592C47">
        <w:rPr>
          <w:rFonts w:ascii="Arial" w:hAnsi="Arial" w:cs="Arial"/>
          <w:sz w:val="24"/>
          <w:szCs w:val="24"/>
          <w:lang w:val="es-ES"/>
        </w:rPr>
        <w:t>Distinta es la limitación al cómputo de los impuestos análogos pagados en el exterior, en donde se procura evitar que los impuestos abonados en el exterior reduzcan el saldo a ingresar al fisco argentino</w:t>
      </w:r>
      <w:r w:rsidR="00984468">
        <w:rPr>
          <w:rFonts w:ascii="Arial" w:hAnsi="Arial" w:cs="Arial"/>
          <w:sz w:val="24"/>
          <w:szCs w:val="24"/>
          <w:lang w:val="es-ES"/>
        </w:rPr>
        <w:t>, por rentas de fuente argentina</w:t>
      </w:r>
      <w:r w:rsidRPr="00592C47">
        <w:rPr>
          <w:rFonts w:ascii="Arial" w:hAnsi="Arial" w:cs="Arial"/>
          <w:sz w:val="24"/>
          <w:szCs w:val="24"/>
          <w:lang w:val="es-ES"/>
        </w:rPr>
        <w:t>. El impuesto análogo pagado en el exterior que supera el límite de incremento de la obligación tributaria originada en rentas de fuente extranjera es computable en los siguientes 5 años sin estar previsto su ajuste a moneda constante. Uno más de las inequidades derivadas de un contexto de inflación alta y constante.</w:t>
      </w:r>
    </w:p>
    <w:p w14:paraId="16CC3F5B" w14:textId="77777777" w:rsidR="00C43B94" w:rsidRDefault="00C43B94" w:rsidP="00CA60AF">
      <w:pPr>
        <w:jc w:val="both"/>
        <w:rPr>
          <w:rFonts w:ascii="Arial" w:hAnsi="Arial" w:cs="Arial"/>
          <w:sz w:val="24"/>
          <w:szCs w:val="24"/>
          <w:lang w:val="es-ES"/>
        </w:rPr>
      </w:pPr>
    </w:p>
    <w:p w14:paraId="74C68304" w14:textId="77777777" w:rsidR="00C43B94" w:rsidRPr="00203017" w:rsidRDefault="00C43B94" w:rsidP="00CA60AF">
      <w:pPr>
        <w:jc w:val="both"/>
        <w:rPr>
          <w:rFonts w:ascii="Arial" w:hAnsi="Arial" w:cs="Arial"/>
          <w:sz w:val="24"/>
          <w:szCs w:val="24"/>
          <w:lang w:val="es-ES"/>
        </w:rPr>
      </w:pPr>
    </w:p>
    <w:p w14:paraId="7E9D2005" w14:textId="6E639837" w:rsidR="00C43B94" w:rsidRPr="00F650AF" w:rsidRDefault="00D93EC8" w:rsidP="00CA60AF">
      <w:pPr>
        <w:jc w:val="both"/>
        <w:rPr>
          <w:rFonts w:ascii="Arial" w:hAnsi="Arial" w:cs="Arial"/>
          <w:b/>
          <w:bCs/>
          <w:sz w:val="24"/>
          <w:szCs w:val="24"/>
          <w:lang w:val="es-ES"/>
        </w:rPr>
      </w:pPr>
      <w:r>
        <w:rPr>
          <w:rFonts w:ascii="Arial" w:hAnsi="Arial" w:cs="Arial"/>
          <w:b/>
          <w:bCs/>
          <w:sz w:val="24"/>
          <w:szCs w:val="24"/>
          <w:lang w:val="es-ES"/>
        </w:rPr>
        <w:t>4</w:t>
      </w:r>
      <w:r w:rsidR="00C43B94" w:rsidRPr="00F650AF">
        <w:rPr>
          <w:rFonts w:ascii="Arial" w:hAnsi="Arial" w:cs="Arial"/>
          <w:b/>
          <w:bCs/>
          <w:sz w:val="24"/>
          <w:szCs w:val="24"/>
          <w:lang w:val="es-ES"/>
        </w:rPr>
        <w:t xml:space="preserve">. </w:t>
      </w:r>
      <w:r w:rsidR="00C43B94" w:rsidRPr="00F650AF">
        <w:rPr>
          <w:rFonts w:ascii="Arial" w:hAnsi="Arial" w:cs="Arial"/>
          <w:b/>
          <w:bCs/>
          <w:sz w:val="24"/>
          <w:szCs w:val="24"/>
          <w:u w:val="single"/>
          <w:lang w:val="es-ES"/>
        </w:rPr>
        <w:t>Consideraciones a los quebrantos solo compensables con rentas de similar naturaleza</w:t>
      </w:r>
    </w:p>
    <w:p w14:paraId="6CE24B7C" w14:textId="77777777" w:rsidR="00C43B94" w:rsidRPr="00203017" w:rsidRDefault="00C43B94" w:rsidP="00CA60AF">
      <w:pPr>
        <w:jc w:val="both"/>
        <w:rPr>
          <w:rFonts w:ascii="Arial" w:hAnsi="Arial" w:cs="Arial"/>
          <w:sz w:val="24"/>
          <w:szCs w:val="24"/>
          <w:lang w:val="es-ES"/>
        </w:rPr>
      </w:pPr>
    </w:p>
    <w:p w14:paraId="165F845A" w14:textId="7DD36C5D" w:rsidR="00C43B94" w:rsidRDefault="00D93EC8" w:rsidP="00CA60AF">
      <w:pPr>
        <w:jc w:val="both"/>
        <w:rPr>
          <w:rFonts w:ascii="Arial" w:hAnsi="Arial" w:cs="Arial"/>
          <w:sz w:val="24"/>
          <w:szCs w:val="24"/>
          <w:lang w:val="es-ES"/>
        </w:rPr>
      </w:pPr>
      <w:r>
        <w:rPr>
          <w:rFonts w:ascii="Arial" w:hAnsi="Arial" w:cs="Arial"/>
          <w:sz w:val="24"/>
          <w:szCs w:val="24"/>
          <w:lang w:val="es-ES"/>
        </w:rPr>
        <w:t>4</w:t>
      </w:r>
      <w:r w:rsidR="00C43B94">
        <w:rPr>
          <w:rFonts w:ascii="Arial" w:hAnsi="Arial" w:cs="Arial"/>
          <w:sz w:val="24"/>
          <w:szCs w:val="24"/>
          <w:lang w:val="es-ES"/>
        </w:rPr>
        <w:t xml:space="preserve">.1. </w:t>
      </w:r>
      <w:r w:rsidR="00C43B94" w:rsidRPr="00F650AF">
        <w:rPr>
          <w:rFonts w:ascii="Arial" w:hAnsi="Arial" w:cs="Arial"/>
          <w:sz w:val="24"/>
          <w:szCs w:val="24"/>
          <w:u w:val="single"/>
          <w:lang w:val="es-ES"/>
        </w:rPr>
        <w:t>Quebrantos derivados de operaciones de enajenación de acciones, y demás títulos valores</w:t>
      </w:r>
      <w:r w:rsidR="00C43B94" w:rsidRPr="00203017">
        <w:rPr>
          <w:rFonts w:ascii="Arial" w:hAnsi="Arial" w:cs="Arial"/>
          <w:sz w:val="24"/>
          <w:szCs w:val="24"/>
          <w:lang w:val="es-ES"/>
        </w:rPr>
        <w:t xml:space="preserve"> </w:t>
      </w:r>
    </w:p>
    <w:p w14:paraId="6A45E557" w14:textId="77777777" w:rsidR="00C43B94" w:rsidRDefault="00C43B94" w:rsidP="00CA60AF">
      <w:pPr>
        <w:jc w:val="both"/>
        <w:rPr>
          <w:rFonts w:ascii="Arial" w:hAnsi="Arial" w:cs="Arial"/>
          <w:sz w:val="24"/>
          <w:szCs w:val="24"/>
          <w:lang w:val="es-ES"/>
        </w:rPr>
      </w:pPr>
    </w:p>
    <w:p w14:paraId="3F46BEE3" w14:textId="4C3B8698" w:rsidR="00C43B94" w:rsidRDefault="00C43B94" w:rsidP="00CA60AF">
      <w:pPr>
        <w:jc w:val="both"/>
        <w:rPr>
          <w:rFonts w:ascii="Arial" w:hAnsi="Arial" w:cs="Arial"/>
          <w:sz w:val="24"/>
          <w:szCs w:val="24"/>
          <w:lang w:val="es-ES"/>
        </w:rPr>
      </w:pPr>
      <w:r w:rsidRPr="00203017">
        <w:rPr>
          <w:rFonts w:ascii="Arial" w:hAnsi="Arial" w:cs="Arial"/>
          <w:sz w:val="24"/>
          <w:szCs w:val="24"/>
          <w:lang w:val="es-ES"/>
        </w:rPr>
        <w:lastRenderedPageBreak/>
        <w:t xml:space="preserve">La supuesta razón de esta limitación se habría originado en </w:t>
      </w:r>
      <w:r>
        <w:rPr>
          <w:rFonts w:ascii="Arial" w:hAnsi="Arial" w:cs="Arial"/>
          <w:sz w:val="24"/>
          <w:szCs w:val="24"/>
          <w:lang w:val="es-ES"/>
        </w:rPr>
        <w:t>posibles</w:t>
      </w:r>
      <w:r w:rsidRPr="00203017">
        <w:rPr>
          <w:rFonts w:ascii="Arial" w:hAnsi="Arial" w:cs="Arial"/>
          <w:sz w:val="24"/>
          <w:szCs w:val="24"/>
          <w:lang w:val="es-ES"/>
        </w:rPr>
        <w:t xml:space="preserve"> manipulaciones de ciertos contribuyentes que generaban enajenaciones de paquetes accionarios con resultado negativo en operaciones de un mismo grupo económico</w:t>
      </w:r>
      <w:r>
        <w:rPr>
          <w:rStyle w:val="Refdenotaalfinal"/>
          <w:rFonts w:ascii="Arial" w:hAnsi="Arial" w:cs="Arial"/>
          <w:sz w:val="24"/>
          <w:szCs w:val="24"/>
          <w:lang w:val="es-ES"/>
        </w:rPr>
        <w:endnoteReference w:id="10"/>
      </w:r>
      <w:r>
        <w:rPr>
          <w:rFonts w:ascii="Arial" w:hAnsi="Arial" w:cs="Arial"/>
          <w:sz w:val="24"/>
          <w:szCs w:val="24"/>
          <w:lang w:val="es-ES"/>
        </w:rPr>
        <w:t>.</w:t>
      </w:r>
    </w:p>
    <w:p w14:paraId="1C0F488F" w14:textId="77777777" w:rsidR="00C43B94" w:rsidRDefault="00C43B94" w:rsidP="00CA60AF">
      <w:pPr>
        <w:jc w:val="both"/>
        <w:rPr>
          <w:rFonts w:ascii="Arial" w:hAnsi="Arial" w:cs="Arial"/>
          <w:sz w:val="24"/>
          <w:szCs w:val="24"/>
          <w:lang w:val="es-ES"/>
        </w:rPr>
      </w:pPr>
    </w:p>
    <w:p w14:paraId="609A3EAC" w14:textId="1E1C527D" w:rsidR="00C43B94" w:rsidRDefault="00C43B94" w:rsidP="00CA60AF">
      <w:pPr>
        <w:jc w:val="both"/>
        <w:rPr>
          <w:rFonts w:ascii="Arial" w:hAnsi="Arial" w:cs="Arial"/>
          <w:sz w:val="24"/>
          <w:szCs w:val="24"/>
          <w:lang w:val="es-ES"/>
        </w:rPr>
      </w:pPr>
      <w:r w:rsidRPr="00203017">
        <w:rPr>
          <w:rFonts w:ascii="Arial" w:hAnsi="Arial" w:cs="Arial"/>
          <w:sz w:val="24"/>
          <w:szCs w:val="24"/>
          <w:lang w:val="es-ES"/>
        </w:rPr>
        <w:t xml:space="preserve">Distinto es el </w:t>
      </w:r>
      <w:r w:rsidR="00941AC3" w:rsidRPr="00203017">
        <w:rPr>
          <w:rFonts w:ascii="Arial" w:hAnsi="Arial" w:cs="Arial"/>
          <w:sz w:val="24"/>
          <w:szCs w:val="24"/>
          <w:lang w:val="es-ES"/>
        </w:rPr>
        <w:t>análisis</w:t>
      </w:r>
      <w:r w:rsidRPr="00203017">
        <w:rPr>
          <w:rFonts w:ascii="Arial" w:hAnsi="Arial" w:cs="Arial"/>
          <w:sz w:val="24"/>
          <w:szCs w:val="24"/>
          <w:lang w:val="es-ES"/>
        </w:rPr>
        <w:t xml:space="preserve"> aplicable para las personas humanas, que por ejemplo al enajenar acciones de sociedades argentinas cerradas tienen un resultado sujeto al impuesto cedular a la tasa del 15%, con lo cual en caso de quebranto el mismo debe excluirse y entendemos seria compensable con ganancias de la misma naturaleza</w:t>
      </w:r>
      <w:r>
        <w:rPr>
          <w:rFonts w:ascii="Arial" w:hAnsi="Arial" w:cs="Arial"/>
          <w:sz w:val="24"/>
          <w:szCs w:val="24"/>
          <w:lang w:val="es-ES"/>
        </w:rPr>
        <w:t xml:space="preserve"> dentro mismo ejercicio o en los siguientes 5 años siguientes. </w:t>
      </w:r>
    </w:p>
    <w:p w14:paraId="2DD1DB61" w14:textId="66D9E064" w:rsidR="00C43B94" w:rsidRDefault="00C43B94" w:rsidP="00CA60AF">
      <w:pPr>
        <w:jc w:val="both"/>
        <w:rPr>
          <w:rFonts w:ascii="Arial" w:hAnsi="Arial" w:cs="Arial"/>
          <w:sz w:val="24"/>
          <w:szCs w:val="24"/>
          <w:lang w:val="es-ES"/>
        </w:rPr>
      </w:pPr>
    </w:p>
    <w:p w14:paraId="48A16651" w14:textId="22A7476B" w:rsidR="00C43B94" w:rsidRDefault="00C43B94" w:rsidP="00CA60AF">
      <w:pPr>
        <w:jc w:val="both"/>
        <w:rPr>
          <w:rFonts w:ascii="Arial" w:hAnsi="Arial" w:cs="Arial"/>
          <w:sz w:val="24"/>
          <w:szCs w:val="24"/>
          <w:lang w:val="es-ES"/>
        </w:rPr>
      </w:pPr>
      <w:r>
        <w:rPr>
          <w:rFonts w:ascii="Arial" w:hAnsi="Arial" w:cs="Arial"/>
          <w:sz w:val="24"/>
          <w:szCs w:val="24"/>
          <w:lang w:val="es-ES"/>
        </w:rPr>
        <w:t>Existe en el reglamento una limitación incorporada en el artículo 246 del reglamento. Para determinar</w:t>
      </w:r>
      <w:r w:rsidRPr="00F650AF">
        <w:rPr>
          <w:rFonts w:ascii="Arial" w:hAnsi="Arial" w:cs="Arial"/>
          <w:sz w:val="24"/>
          <w:szCs w:val="24"/>
          <w:lang w:val="es-ES"/>
        </w:rPr>
        <w:t xml:space="preserve"> la ganancia bruta, cuando se enajene un valor y dicha operación arroje un quebranto, este no resultará computable en la medida que el contribuyente adquiera dentro de las setenta y dos (72) horas previas o posteriores, un valor de naturaleza sustancialmente similar (considerando, entre otros datos, la entidad emisora, la moneda, el plazo y la tasa de interés), debiendo adicionarse el referido quebranto al costo de adquisición de este último</w:t>
      </w:r>
      <w:r>
        <w:rPr>
          <w:rFonts w:ascii="Arial" w:hAnsi="Arial" w:cs="Arial"/>
          <w:sz w:val="24"/>
          <w:szCs w:val="24"/>
          <w:lang w:val="es-ES"/>
        </w:rPr>
        <w:t>.</w:t>
      </w:r>
    </w:p>
    <w:p w14:paraId="2702CA9E" w14:textId="77777777" w:rsidR="00C43B94" w:rsidRDefault="00C43B94" w:rsidP="00CA60AF">
      <w:pPr>
        <w:jc w:val="both"/>
        <w:rPr>
          <w:rFonts w:ascii="Arial" w:hAnsi="Arial" w:cs="Arial"/>
          <w:sz w:val="24"/>
          <w:szCs w:val="24"/>
          <w:lang w:val="es-ES"/>
        </w:rPr>
      </w:pPr>
    </w:p>
    <w:p w14:paraId="4983DD29" w14:textId="1067EC78" w:rsidR="00C43B94" w:rsidRDefault="00D93EC8" w:rsidP="00CA60AF">
      <w:pPr>
        <w:jc w:val="both"/>
        <w:rPr>
          <w:rFonts w:ascii="Arial" w:hAnsi="Arial" w:cs="Arial"/>
          <w:sz w:val="24"/>
          <w:szCs w:val="24"/>
          <w:lang w:val="es-ES"/>
        </w:rPr>
      </w:pPr>
      <w:r>
        <w:rPr>
          <w:rFonts w:ascii="Arial" w:hAnsi="Arial" w:cs="Arial"/>
          <w:sz w:val="24"/>
          <w:szCs w:val="24"/>
          <w:lang w:val="es-ES"/>
        </w:rPr>
        <w:t>4</w:t>
      </w:r>
      <w:r w:rsidR="00C43B94">
        <w:rPr>
          <w:rFonts w:ascii="Arial" w:hAnsi="Arial" w:cs="Arial"/>
          <w:sz w:val="24"/>
          <w:szCs w:val="24"/>
          <w:lang w:val="es-ES"/>
        </w:rPr>
        <w:t xml:space="preserve">.2. </w:t>
      </w:r>
      <w:r w:rsidR="00C43B94" w:rsidRPr="00F650AF">
        <w:rPr>
          <w:rFonts w:ascii="Arial" w:hAnsi="Arial" w:cs="Arial"/>
          <w:sz w:val="24"/>
          <w:szCs w:val="24"/>
          <w:u w:val="single"/>
          <w:lang w:val="es-ES"/>
        </w:rPr>
        <w:t>La realidad económica, un quebranto especifico o un costo propio del  giro del negocio</w:t>
      </w:r>
    </w:p>
    <w:p w14:paraId="3801CE24" w14:textId="77777777" w:rsidR="00C43B94" w:rsidRDefault="00C43B94" w:rsidP="00CA60AF">
      <w:pPr>
        <w:jc w:val="both"/>
        <w:rPr>
          <w:rFonts w:ascii="Arial" w:hAnsi="Arial" w:cs="Arial"/>
          <w:sz w:val="24"/>
          <w:szCs w:val="24"/>
          <w:lang w:val="es-ES"/>
        </w:rPr>
      </w:pPr>
    </w:p>
    <w:p w14:paraId="268871E4" w14:textId="3123E7E4" w:rsidR="00C43B94" w:rsidRDefault="00C43B94" w:rsidP="00CA60AF">
      <w:pPr>
        <w:jc w:val="both"/>
        <w:rPr>
          <w:rFonts w:ascii="Arial" w:hAnsi="Arial" w:cs="Arial"/>
          <w:sz w:val="24"/>
          <w:szCs w:val="24"/>
          <w:lang w:val="es-ES"/>
        </w:rPr>
      </w:pPr>
      <w:r w:rsidRPr="00203017">
        <w:rPr>
          <w:rFonts w:ascii="Arial" w:hAnsi="Arial" w:cs="Arial"/>
          <w:sz w:val="24"/>
          <w:szCs w:val="24"/>
          <w:lang w:val="es-ES"/>
        </w:rPr>
        <w:t>Sin embargo, el alcance de operaciones involucradas es más amplio e involucra a operaciones con títulos, bonos y demás títulos valores que responden a operaciones necesarias y genuinas de los sujetos, en especial en el actual contexto de restricciones cambiarias.</w:t>
      </w:r>
    </w:p>
    <w:p w14:paraId="3D448E20" w14:textId="77777777" w:rsidR="00C43B94" w:rsidRDefault="00C43B94" w:rsidP="00CA60AF">
      <w:pPr>
        <w:jc w:val="both"/>
        <w:rPr>
          <w:rFonts w:ascii="Arial" w:hAnsi="Arial" w:cs="Arial"/>
          <w:sz w:val="24"/>
          <w:szCs w:val="24"/>
          <w:lang w:val="es-ES"/>
        </w:rPr>
      </w:pPr>
    </w:p>
    <w:p w14:paraId="04F58CF4" w14:textId="4F48B9DF" w:rsidR="00C43B94" w:rsidRDefault="00C43B94" w:rsidP="00CA60AF">
      <w:pPr>
        <w:jc w:val="both"/>
        <w:rPr>
          <w:rFonts w:ascii="Arial" w:hAnsi="Arial" w:cs="Arial"/>
          <w:sz w:val="24"/>
          <w:szCs w:val="24"/>
          <w:lang w:val="es-ES"/>
        </w:rPr>
      </w:pPr>
      <w:r>
        <w:rPr>
          <w:rFonts w:ascii="Arial" w:hAnsi="Arial" w:cs="Arial"/>
          <w:sz w:val="24"/>
          <w:szCs w:val="24"/>
          <w:lang w:val="es-ES"/>
        </w:rPr>
        <w:t xml:space="preserve"> En general, en varios contratos con obligaciones pactadas en moneda extranjera, se fijan distintas cláusulas para enfrentar escenarios de limitaciones en el acceso de moneda extranjera, al proveer que la misma se cancelara mediante la entrega de pesos necesarios para adquirir títulos públicos y luego vendidos en el exterior para lograr la suma de moneda extranjera necesaria para cumplir con la obligación contractual en la moneda pactada. (la llamada cláusula título público o </w:t>
      </w:r>
      <w:r w:rsidRPr="004566A8">
        <w:rPr>
          <w:rFonts w:ascii="Arial" w:hAnsi="Arial" w:cs="Arial"/>
          <w:sz w:val="24"/>
          <w:szCs w:val="24"/>
          <w:lang w:val="es-ES"/>
        </w:rPr>
        <w:t>Bonex</w:t>
      </w:r>
      <w:r w:rsidR="004566A8">
        <w:rPr>
          <w:rStyle w:val="Refdenotaalfinal"/>
          <w:rFonts w:ascii="Arial" w:hAnsi="Arial" w:cs="Arial"/>
          <w:sz w:val="24"/>
          <w:szCs w:val="24"/>
          <w:lang w:val="es-ES"/>
        </w:rPr>
        <w:endnoteReference w:id="11"/>
      </w:r>
      <w:r>
        <w:rPr>
          <w:rFonts w:ascii="Arial" w:hAnsi="Arial" w:cs="Arial"/>
          <w:sz w:val="24"/>
          <w:szCs w:val="24"/>
          <w:lang w:val="es-ES"/>
        </w:rPr>
        <w:t>).</w:t>
      </w:r>
    </w:p>
    <w:p w14:paraId="6FD6924E" w14:textId="77777777" w:rsidR="00C43B94" w:rsidRDefault="00C43B94" w:rsidP="00CA60AF">
      <w:pPr>
        <w:jc w:val="both"/>
        <w:rPr>
          <w:rFonts w:ascii="Arial" w:hAnsi="Arial" w:cs="Arial"/>
          <w:sz w:val="24"/>
          <w:szCs w:val="24"/>
          <w:lang w:val="es-ES"/>
        </w:rPr>
      </w:pPr>
    </w:p>
    <w:p w14:paraId="5A32A49C" w14:textId="77777777" w:rsidR="00C43B94" w:rsidRDefault="00C43B94" w:rsidP="00CA60AF">
      <w:pPr>
        <w:jc w:val="both"/>
        <w:rPr>
          <w:rFonts w:ascii="Arial" w:hAnsi="Arial" w:cs="Arial"/>
          <w:sz w:val="24"/>
          <w:szCs w:val="24"/>
          <w:lang w:val="es-ES"/>
        </w:rPr>
      </w:pPr>
      <w:r w:rsidRPr="00203017">
        <w:rPr>
          <w:rFonts w:ascii="Arial" w:hAnsi="Arial" w:cs="Arial"/>
          <w:sz w:val="24"/>
          <w:szCs w:val="24"/>
          <w:lang w:val="es-ES"/>
        </w:rPr>
        <w:t xml:space="preserve">En dichas operaciones, al comprar títulos públicos en pesos a valor de mercado (determinada por una paridad convertida a pesos al tipo de cambio del mercado) para luego de un cierto plazo venderlo contra dólares, cuya valuación es al tipo de cambio oficial notoriamente inferior y que luego es afectado a la cancelación de la deuda, se estaría configurando una perdida que literalmente podría incluirse dentro del quebranto especifico. </w:t>
      </w:r>
    </w:p>
    <w:p w14:paraId="6ABBF23D" w14:textId="77777777" w:rsidR="00C43B94" w:rsidRDefault="00C43B94" w:rsidP="00CA60AF">
      <w:pPr>
        <w:jc w:val="both"/>
        <w:rPr>
          <w:rFonts w:ascii="Arial" w:hAnsi="Arial" w:cs="Arial"/>
          <w:sz w:val="24"/>
          <w:szCs w:val="24"/>
          <w:lang w:val="es-ES"/>
        </w:rPr>
      </w:pPr>
    </w:p>
    <w:p w14:paraId="318A7C17" w14:textId="713763AD" w:rsidR="008B4FE0" w:rsidRDefault="00C43B94" w:rsidP="00CA60AF">
      <w:pPr>
        <w:jc w:val="both"/>
        <w:rPr>
          <w:rFonts w:ascii="Arial" w:hAnsi="Arial" w:cs="Arial"/>
          <w:sz w:val="24"/>
          <w:szCs w:val="24"/>
          <w:lang w:val="es-ES"/>
        </w:rPr>
      </w:pPr>
      <w:r w:rsidRPr="00203017">
        <w:rPr>
          <w:rFonts w:ascii="Arial" w:hAnsi="Arial" w:cs="Arial"/>
          <w:sz w:val="24"/>
          <w:szCs w:val="24"/>
          <w:lang w:val="es-ES"/>
        </w:rPr>
        <w:t xml:space="preserve">En nuestra opinión, las características de la operatoria es más una operación </w:t>
      </w:r>
      <w:r>
        <w:rPr>
          <w:rFonts w:ascii="Arial" w:hAnsi="Arial" w:cs="Arial"/>
          <w:sz w:val="24"/>
          <w:szCs w:val="24"/>
          <w:lang w:val="es-ES"/>
        </w:rPr>
        <w:t xml:space="preserve">para cancelar una obligación contractual </w:t>
      </w:r>
      <w:r w:rsidRPr="00203017">
        <w:rPr>
          <w:rFonts w:ascii="Arial" w:hAnsi="Arial" w:cs="Arial"/>
          <w:sz w:val="24"/>
          <w:szCs w:val="24"/>
          <w:lang w:val="es-ES"/>
        </w:rPr>
        <w:t xml:space="preserve">y no una operación con títulos valores sujeta al quebranto especifico, y la eventual perdida es un mayor precio pagado por el bien o el servicio objeto de cancelación de deuda en moneda extranjera. </w:t>
      </w:r>
    </w:p>
    <w:p w14:paraId="0241AB55" w14:textId="77777777" w:rsidR="008B4FE0" w:rsidRDefault="008B4FE0" w:rsidP="00CA60AF">
      <w:pPr>
        <w:jc w:val="both"/>
        <w:rPr>
          <w:rFonts w:ascii="Arial" w:hAnsi="Arial" w:cs="Arial"/>
          <w:sz w:val="24"/>
          <w:szCs w:val="24"/>
          <w:lang w:val="es-ES"/>
        </w:rPr>
      </w:pPr>
    </w:p>
    <w:p w14:paraId="0F228F1C" w14:textId="77777777" w:rsidR="008B4FE0" w:rsidRDefault="00C43B94" w:rsidP="00CA60AF">
      <w:pPr>
        <w:jc w:val="both"/>
        <w:rPr>
          <w:rFonts w:ascii="Arial" w:hAnsi="Arial" w:cs="Arial"/>
          <w:sz w:val="24"/>
          <w:szCs w:val="24"/>
          <w:lang w:val="es-ES"/>
        </w:rPr>
      </w:pPr>
      <w:r>
        <w:rPr>
          <w:rFonts w:ascii="Arial" w:hAnsi="Arial" w:cs="Arial"/>
          <w:sz w:val="24"/>
          <w:szCs w:val="24"/>
          <w:lang w:val="es-ES"/>
        </w:rPr>
        <w:t xml:space="preserve">Sin embargo, el encuadre dependerá del análisis de cada caso. La controversia se diluiría si el pago se hace con la entrega de los títulos valores involucrados al sujeto del exterior y se evita la venta o enajenación a perdida para luego pagar </w:t>
      </w:r>
      <w:r>
        <w:rPr>
          <w:rFonts w:ascii="Arial" w:hAnsi="Arial" w:cs="Arial"/>
          <w:sz w:val="24"/>
          <w:szCs w:val="24"/>
          <w:lang w:val="es-ES"/>
        </w:rPr>
        <w:lastRenderedPageBreak/>
        <w:t>en la moneda pactada, lo cual demuestra que la realidad económica en dichas operaciones hay un mayor costo o gasto y no debe ser considerado un quebranto especifico.</w:t>
      </w:r>
    </w:p>
    <w:p w14:paraId="0752BD1F" w14:textId="77777777" w:rsidR="008B4FE0" w:rsidRDefault="008B4FE0" w:rsidP="00CA60AF">
      <w:pPr>
        <w:jc w:val="both"/>
        <w:rPr>
          <w:rFonts w:ascii="Arial" w:hAnsi="Arial" w:cs="Arial"/>
          <w:sz w:val="24"/>
          <w:szCs w:val="24"/>
          <w:lang w:val="es-ES"/>
        </w:rPr>
      </w:pPr>
    </w:p>
    <w:p w14:paraId="185775E7" w14:textId="05C900BE" w:rsidR="00C43B94" w:rsidRPr="00203017" w:rsidRDefault="00C43B94" w:rsidP="00CA60AF">
      <w:pPr>
        <w:jc w:val="both"/>
        <w:rPr>
          <w:rFonts w:ascii="Arial" w:hAnsi="Arial" w:cs="Arial"/>
          <w:sz w:val="24"/>
          <w:szCs w:val="24"/>
          <w:lang w:val="es-ES"/>
        </w:rPr>
      </w:pPr>
      <w:r w:rsidRPr="00203017">
        <w:rPr>
          <w:rFonts w:ascii="Arial" w:hAnsi="Arial" w:cs="Arial"/>
          <w:sz w:val="24"/>
          <w:szCs w:val="24"/>
          <w:lang w:val="es-ES"/>
        </w:rPr>
        <w:t>Un tema que esperemos sea merituad</w:t>
      </w:r>
      <w:r>
        <w:rPr>
          <w:rFonts w:ascii="Arial" w:hAnsi="Arial" w:cs="Arial"/>
          <w:sz w:val="24"/>
          <w:szCs w:val="24"/>
          <w:lang w:val="es-ES"/>
        </w:rPr>
        <w:t>o</w:t>
      </w:r>
      <w:r w:rsidRPr="00203017">
        <w:rPr>
          <w:rFonts w:ascii="Arial" w:hAnsi="Arial" w:cs="Arial"/>
          <w:sz w:val="24"/>
          <w:szCs w:val="24"/>
          <w:lang w:val="es-ES"/>
        </w:rPr>
        <w:t xml:space="preserve"> en su real dimensión </w:t>
      </w:r>
      <w:r>
        <w:rPr>
          <w:rFonts w:ascii="Arial" w:hAnsi="Arial" w:cs="Arial"/>
          <w:sz w:val="24"/>
          <w:szCs w:val="24"/>
          <w:lang w:val="es-ES"/>
        </w:rPr>
        <w:t xml:space="preserve">ante </w:t>
      </w:r>
      <w:r w:rsidRPr="00203017">
        <w:rPr>
          <w:rFonts w:ascii="Arial" w:hAnsi="Arial" w:cs="Arial"/>
          <w:sz w:val="24"/>
          <w:szCs w:val="24"/>
          <w:lang w:val="es-ES"/>
        </w:rPr>
        <w:t>eventuales impugnaciones de las autoridades fiscales</w:t>
      </w:r>
      <w:r w:rsidR="009432D9">
        <w:rPr>
          <w:rFonts w:ascii="Arial" w:hAnsi="Arial" w:cs="Arial"/>
          <w:sz w:val="24"/>
          <w:szCs w:val="24"/>
          <w:lang w:val="es-ES"/>
        </w:rPr>
        <w:t>.</w:t>
      </w:r>
    </w:p>
    <w:p w14:paraId="6E52ECC4" w14:textId="77777777" w:rsidR="00C43B94" w:rsidRPr="00203017" w:rsidRDefault="00C43B94" w:rsidP="00CA60AF">
      <w:pPr>
        <w:jc w:val="both"/>
        <w:rPr>
          <w:rFonts w:ascii="Arial" w:hAnsi="Arial" w:cs="Arial"/>
          <w:sz w:val="24"/>
          <w:szCs w:val="24"/>
          <w:lang w:val="es-ES"/>
        </w:rPr>
      </w:pPr>
    </w:p>
    <w:p w14:paraId="38ED3295" w14:textId="6925DB2C" w:rsidR="00C43B94" w:rsidRPr="00F650AF" w:rsidRDefault="00D93EC8" w:rsidP="00CA60AF">
      <w:pPr>
        <w:jc w:val="both"/>
        <w:rPr>
          <w:rFonts w:ascii="Arial" w:hAnsi="Arial" w:cs="Arial"/>
          <w:sz w:val="24"/>
          <w:szCs w:val="24"/>
          <w:u w:val="single"/>
          <w:lang w:val="es-ES"/>
        </w:rPr>
      </w:pPr>
      <w:r>
        <w:rPr>
          <w:rFonts w:ascii="Arial" w:hAnsi="Arial" w:cs="Arial"/>
          <w:sz w:val="24"/>
          <w:szCs w:val="24"/>
          <w:lang w:val="es-ES"/>
        </w:rPr>
        <w:t>4</w:t>
      </w:r>
      <w:r w:rsidR="00C43B94">
        <w:rPr>
          <w:rFonts w:ascii="Arial" w:hAnsi="Arial" w:cs="Arial"/>
          <w:sz w:val="24"/>
          <w:szCs w:val="24"/>
          <w:lang w:val="es-ES"/>
        </w:rPr>
        <w:t xml:space="preserve">.3. </w:t>
      </w:r>
      <w:r w:rsidR="00C43B94" w:rsidRPr="00F650AF">
        <w:rPr>
          <w:rFonts w:ascii="Arial" w:hAnsi="Arial" w:cs="Arial"/>
          <w:sz w:val="24"/>
          <w:szCs w:val="24"/>
          <w:u w:val="single"/>
          <w:lang w:val="es-ES"/>
        </w:rPr>
        <w:t xml:space="preserve">Quebrantos generados por operaciones con instrumentos y/o contratos derivados, de naturaleza especulativa (excluye a operaciones de cobertura). </w:t>
      </w:r>
    </w:p>
    <w:p w14:paraId="4E32323D" w14:textId="77777777" w:rsidR="00C43B94" w:rsidRDefault="00C43B94" w:rsidP="00CA60AF">
      <w:pPr>
        <w:jc w:val="both"/>
        <w:rPr>
          <w:rFonts w:ascii="Arial" w:hAnsi="Arial" w:cs="Arial"/>
          <w:sz w:val="24"/>
          <w:szCs w:val="24"/>
          <w:lang w:val="es-ES"/>
        </w:rPr>
      </w:pPr>
    </w:p>
    <w:p w14:paraId="6415A4BB" w14:textId="1B02CA86" w:rsidR="00C43B94" w:rsidRDefault="00C43B94" w:rsidP="00EA2E92">
      <w:pPr>
        <w:jc w:val="both"/>
        <w:rPr>
          <w:rFonts w:ascii="Arial" w:hAnsi="Arial" w:cs="Arial"/>
          <w:sz w:val="24"/>
          <w:szCs w:val="24"/>
          <w:lang w:val="es-ES"/>
        </w:rPr>
      </w:pPr>
      <w:r w:rsidRPr="00203017">
        <w:rPr>
          <w:rFonts w:ascii="Arial" w:hAnsi="Arial" w:cs="Arial"/>
          <w:sz w:val="24"/>
          <w:szCs w:val="24"/>
          <w:lang w:val="es-ES"/>
        </w:rPr>
        <w:t>La supuesta razón de la limitación se habría originado en la inclusión abusiva de operaciones especulativas perdidosas, ajenas al giro del objeto del negocio, para reducir la obligación fiscal. En tal sentido, el objetivo es admitir</w:t>
      </w:r>
      <w:r>
        <w:rPr>
          <w:rFonts w:ascii="Arial" w:hAnsi="Arial" w:cs="Arial"/>
          <w:sz w:val="24"/>
          <w:szCs w:val="24"/>
          <w:lang w:val="es-ES"/>
        </w:rPr>
        <w:t xml:space="preserve"> como quebranto general al generado en operaciones </w:t>
      </w:r>
      <w:r w:rsidRPr="00203017">
        <w:rPr>
          <w:rFonts w:ascii="Arial" w:hAnsi="Arial" w:cs="Arial"/>
          <w:sz w:val="24"/>
          <w:szCs w:val="24"/>
          <w:lang w:val="es-ES"/>
        </w:rPr>
        <w:t xml:space="preserve">vinculadas con el giro del negocio (cobertura) y solo excluir a las operaciones especulativas, las cuales solo se podrán computar contra ganancias del mismo tipo. El tema puede ser comprensible, </w:t>
      </w:r>
      <w:r>
        <w:rPr>
          <w:rFonts w:ascii="Arial" w:hAnsi="Arial" w:cs="Arial"/>
          <w:sz w:val="24"/>
          <w:szCs w:val="24"/>
          <w:lang w:val="es-ES"/>
        </w:rPr>
        <w:t xml:space="preserve">sin embargo, </w:t>
      </w:r>
      <w:r w:rsidRPr="00203017">
        <w:rPr>
          <w:rFonts w:ascii="Arial" w:hAnsi="Arial" w:cs="Arial"/>
          <w:sz w:val="24"/>
          <w:szCs w:val="24"/>
          <w:lang w:val="es-ES"/>
        </w:rPr>
        <w:t xml:space="preserve">la dificultad es la definición de operaciones de cobertura y </w:t>
      </w:r>
      <w:r>
        <w:rPr>
          <w:rFonts w:ascii="Arial" w:hAnsi="Arial" w:cs="Arial"/>
          <w:sz w:val="24"/>
          <w:szCs w:val="24"/>
          <w:lang w:val="es-ES"/>
        </w:rPr>
        <w:t>la</w:t>
      </w:r>
      <w:r w:rsidRPr="00203017">
        <w:rPr>
          <w:rFonts w:ascii="Arial" w:hAnsi="Arial" w:cs="Arial"/>
          <w:sz w:val="24"/>
          <w:szCs w:val="24"/>
          <w:lang w:val="es-ES"/>
        </w:rPr>
        <w:t xml:space="preserve"> magnitud aceptable con el consecuente castigo al exceso de cobertura. El tema </w:t>
      </w:r>
      <w:r>
        <w:rPr>
          <w:rFonts w:ascii="Arial" w:hAnsi="Arial" w:cs="Arial"/>
          <w:sz w:val="24"/>
          <w:szCs w:val="24"/>
          <w:lang w:val="es-ES"/>
        </w:rPr>
        <w:t>ha sido</w:t>
      </w:r>
      <w:r w:rsidRPr="00203017">
        <w:rPr>
          <w:rFonts w:ascii="Arial" w:hAnsi="Arial" w:cs="Arial"/>
          <w:sz w:val="24"/>
          <w:szCs w:val="24"/>
          <w:lang w:val="es-ES"/>
        </w:rPr>
        <w:t xml:space="preserve"> motivo de discusiones</w:t>
      </w:r>
      <w:r>
        <w:rPr>
          <w:rStyle w:val="Refdenotaalfinal"/>
          <w:rFonts w:ascii="Arial" w:hAnsi="Arial" w:cs="Arial"/>
          <w:sz w:val="24"/>
          <w:szCs w:val="24"/>
          <w:lang w:val="es-ES"/>
        </w:rPr>
        <w:endnoteReference w:id="12"/>
      </w:r>
      <w:r w:rsidRPr="00203017">
        <w:rPr>
          <w:rFonts w:ascii="Arial" w:hAnsi="Arial" w:cs="Arial"/>
          <w:sz w:val="24"/>
          <w:szCs w:val="24"/>
          <w:lang w:val="es-ES"/>
        </w:rPr>
        <w:t>, además de las aclaraciones vía decreto reglamentario, en fecha reciente tenemos jurisprudencia sobre el particular</w:t>
      </w:r>
      <w:r>
        <w:rPr>
          <w:rFonts w:ascii="Arial" w:hAnsi="Arial" w:cs="Arial"/>
          <w:sz w:val="24"/>
          <w:szCs w:val="24"/>
          <w:lang w:val="es-ES"/>
        </w:rPr>
        <w:t xml:space="preserve"> de la CSJN.</w:t>
      </w:r>
    </w:p>
    <w:p w14:paraId="75ADBEE9" w14:textId="77777777" w:rsidR="00C43B94" w:rsidRDefault="00C43B94" w:rsidP="00EA2E92">
      <w:pPr>
        <w:jc w:val="both"/>
        <w:rPr>
          <w:rFonts w:ascii="Arial" w:hAnsi="Arial" w:cs="Arial"/>
          <w:sz w:val="24"/>
          <w:szCs w:val="24"/>
          <w:lang w:val="es-ES"/>
        </w:rPr>
      </w:pPr>
    </w:p>
    <w:p w14:paraId="24B5C3AA" w14:textId="36870EB0" w:rsidR="00C43B94" w:rsidRDefault="00C43B94" w:rsidP="00EA2E92">
      <w:pPr>
        <w:jc w:val="both"/>
        <w:rPr>
          <w:rFonts w:ascii="Arial" w:hAnsi="Arial" w:cs="Arial"/>
          <w:sz w:val="24"/>
          <w:szCs w:val="24"/>
          <w:lang w:val="es-ES"/>
        </w:rPr>
      </w:pPr>
      <w:r>
        <w:rPr>
          <w:rFonts w:ascii="Arial" w:hAnsi="Arial" w:cs="Arial"/>
          <w:sz w:val="24"/>
          <w:szCs w:val="24"/>
          <w:lang w:val="es-ES"/>
        </w:rPr>
        <w:t xml:space="preserve">Se planteó si los quebrantos que se habían originado en determinadas operaciones con derivados calificaban como generales o específicos. Para ello, había que determinar si el derivado calificaba como una operación de cobertura, en cuyo caso el quebranto era general o como una operación especulativa, en cuyo caso el quebranto era específico. En el caso, se resaltó que las condiciones requeridas por el Fisco para acreditar que la operación calificaba como cobertura no se hallaban contenidas en </w:t>
      </w:r>
      <w:r w:rsidRPr="00F650AF">
        <w:rPr>
          <w:rFonts w:ascii="Arial" w:hAnsi="Arial" w:cs="Arial"/>
          <w:sz w:val="24"/>
          <w:szCs w:val="24"/>
          <w:lang w:val="es-ES"/>
        </w:rPr>
        <w:t xml:space="preserve">el art. 19 de la ley de </w:t>
      </w:r>
      <w:r>
        <w:rPr>
          <w:rFonts w:ascii="Arial" w:hAnsi="Arial" w:cs="Arial"/>
          <w:sz w:val="24"/>
          <w:szCs w:val="24"/>
          <w:lang w:val="es-ES"/>
        </w:rPr>
        <w:t xml:space="preserve">la LIG </w:t>
      </w:r>
      <w:r w:rsidRPr="00F650AF">
        <w:rPr>
          <w:rFonts w:ascii="Arial" w:hAnsi="Arial" w:cs="Arial"/>
          <w:sz w:val="24"/>
          <w:szCs w:val="24"/>
          <w:lang w:val="es-ES"/>
        </w:rPr>
        <w:t>ni en otra norma aplicable al caso -y, por lo tanto, su exigencia vulneraría un principio de raigambre constitucional como lo es el de legalidad</w:t>
      </w:r>
      <w:r>
        <w:rPr>
          <w:rStyle w:val="Refdenotaalfinal"/>
          <w:rFonts w:ascii="Arial" w:hAnsi="Arial" w:cs="Arial"/>
          <w:sz w:val="24"/>
          <w:szCs w:val="24"/>
          <w:lang w:val="es-ES"/>
        </w:rPr>
        <w:endnoteReference w:id="13"/>
      </w:r>
      <w:r>
        <w:rPr>
          <w:rFonts w:ascii="Arial" w:hAnsi="Arial" w:cs="Arial"/>
          <w:sz w:val="24"/>
          <w:szCs w:val="24"/>
          <w:lang w:val="es-ES"/>
        </w:rPr>
        <w:t>.</w:t>
      </w:r>
    </w:p>
    <w:p w14:paraId="764B505F" w14:textId="493CF975" w:rsidR="00C43B94" w:rsidRDefault="00C43B94" w:rsidP="00EA2E92">
      <w:pPr>
        <w:jc w:val="both"/>
        <w:rPr>
          <w:rFonts w:ascii="Arial" w:hAnsi="Arial" w:cs="Arial"/>
          <w:sz w:val="24"/>
          <w:szCs w:val="24"/>
          <w:lang w:val="es-ES"/>
        </w:rPr>
      </w:pPr>
    </w:p>
    <w:p w14:paraId="3A445DF0" w14:textId="18966577" w:rsidR="00C43B94" w:rsidRDefault="00C43B94" w:rsidP="00EA2E92">
      <w:pPr>
        <w:jc w:val="both"/>
        <w:rPr>
          <w:rFonts w:ascii="Arial" w:hAnsi="Arial" w:cs="Arial"/>
          <w:sz w:val="24"/>
          <w:szCs w:val="24"/>
          <w:lang w:val="es-ES"/>
        </w:rPr>
      </w:pPr>
      <w:r>
        <w:rPr>
          <w:rFonts w:ascii="Arial" w:hAnsi="Arial" w:cs="Arial"/>
          <w:sz w:val="24"/>
          <w:szCs w:val="24"/>
          <w:lang w:val="es-ES"/>
        </w:rPr>
        <w:t xml:space="preserve">La Ley N° 27.430 definió las operaciones de cobertura como aquellas que tenían por objeto reducir </w:t>
      </w:r>
      <w:r w:rsidRPr="00F650AF">
        <w:rPr>
          <w:rFonts w:ascii="Arial" w:hAnsi="Arial" w:cs="Arial"/>
          <w:sz w:val="24"/>
          <w:szCs w:val="24"/>
          <w:lang w:val="es-ES"/>
        </w:rPr>
        <w:t>el efecto de las futuras fluctuaciones en precios o tasas de mercado, sobre los bienes, deudas y resultados de la o las actividades económicas principales</w:t>
      </w:r>
      <w:r>
        <w:rPr>
          <w:rFonts w:ascii="Arial" w:hAnsi="Arial" w:cs="Arial"/>
          <w:sz w:val="24"/>
          <w:szCs w:val="24"/>
          <w:lang w:val="es-ES"/>
        </w:rPr>
        <w:t xml:space="preserve"> del contribuyente</w:t>
      </w:r>
      <w:r w:rsidRPr="00F650AF">
        <w:rPr>
          <w:rFonts w:ascii="Arial" w:hAnsi="Arial" w:cs="Arial"/>
          <w:sz w:val="24"/>
          <w:szCs w:val="24"/>
          <w:lang w:val="es-ES"/>
        </w:rPr>
        <w:t>.</w:t>
      </w:r>
    </w:p>
    <w:p w14:paraId="76B2772F" w14:textId="379330EC" w:rsidR="00C43B94" w:rsidRDefault="00C43B94" w:rsidP="00CA60AF">
      <w:pPr>
        <w:jc w:val="both"/>
        <w:rPr>
          <w:rFonts w:ascii="Arial" w:hAnsi="Arial" w:cs="Arial"/>
          <w:sz w:val="24"/>
          <w:szCs w:val="24"/>
          <w:lang w:val="es-ES"/>
        </w:rPr>
      </w:pPr>
    </w:p>
    <w:p w14:paraId="00D8F69B" w14:textId="00A6C116" w:rsidR="00C43B94" w:rsidRDefault="00C43B94" w:rsidP="001C6BD1">
      <w:pPr>
        <w:jc w:val="both"/>
        <w:rPr>
          <w:rFonts w:ascii="Arial" w:hAnsi="Arial" w:cs="Arial"/>
          <w:sz w:val="24"/>
          <w:szCs w:val="24"/>
          <w:lang w:val="es-ES"/>
        </w:rPr>
      </w:pPr>
      <w:r>
        <w:rPr>
          <w:rFonts w:ascii="Arial" w:hAnsi="Arial" w:cs="Arial"/>
          <w:sz w:val="24"/>
          <w:szCs w:val="24"/>
          <w:lang w:val="es-ES"/>
        </w:rPr>
        <w:t xml:space="preserve">Al modificarse el decreto reglamentario de la LIG, el artículo 75 intentó brindar mayores precesiones para </w:t>
      </w:r>
      <w:r w:rsidRPr="00F650AF">
        <w:rPr>
          <w:rFonts w:ascii="Arial" w:hAnsi="Arial" w:cs="Arial"/>
          <w:sz w:val="24"/>
          <w:szCs w:val="24"/>
          <w:lang w:val="es-ES"/>
        </w:rPr>
        <w:t>constatar si un instrumento y/o contrato derivado implica una “operación de cobertura”</w:t>
      </w:r>
      <w:r>
        <w:rPr>
          <w:rFonts w:ascii="Arial" w:hAnsi="Arial" w:cs="Arial"/>
          <w:sz w:val="24"/>
          <w:szCs w:val="24"/>
          <w:lang w:val="es-ES"/>
        </w:rPr>
        <w:t xml:space="preserve">. Para ello, se requiere que se verifique </w:t>
      </w:r>
      <w:r w:rsidRPr="00F650AF">
        <w:rPr>
          <w:rFonts w:ascii="Arial" w:hAnsi="Arial" w:cs="Arial"/>
          <w:sz w:val="24"/>
          <w:szCs w:val="24"/>
          <w:lang w:val="es-ES"/>
        </w:rPr>
        <w:t>-en forma concurrente- esa operación:</w:t>
      </w:r>
    </w:p>
    <w:p w14:paraId="7E0E9A22" w14:textId="77777777" w:rsidR="00C43B94" w:rsidRPr="00A93896" w:rsidRDefault="00C43B94" w:rsidP="001C6BD1">
      <w:pPr>
        <w:jc w:val="both"/>
        <w:rPr>
          <w:rFonts w:ascii="Arial" w:hAnsi="Arial" w:cs="Arial"/>
          <w:sz w:val="24"/>
          <w:szCs w:val="24"/>
          <w:lang w:val="es-ES"/>
        </w:rPr>
      </w:pPr>
    </w:p>
    <w:p w14:paraId="113C12B9" w14:textId="77777777" w:rsidR="00C43B94" w:rsidRPr="001C6BD1" w:rsidRDefault="00C43B94" w:rsidP="001C6BD1">
      <w:pPr>
        <w:ind w:right="105"/>
        <w:jc w:val="both"/>
        <w:rPr>
          <w:rFonts w:ascii="Arial" w:hAnsi="Arial" w:cs="Arial"/>
          <w:sz w:val="24"/>
          <w:szCs w:val="24"/>
          <w:lang w:val="es-ES"/>
        </w:rPr>
      </w:pPr>
      <w:r w:rsidRPr="001C6BD1">
        <w:rPr>
          <w:rFonts w:ascii="Arial" w:hAnsi="Arial" w:cs="Arial"/>
          <w:sz w:val="24"/>
          <w:szCs w:val="24"/>
          <w:lang w:val="es-ES"/>
        </w:rPr>
        <w:t>a) Tenga por objeto reducir el efecto de las futuras fluctuaciones en precios o tasas de mercado, sobre los bienes, deudas y resultados de la o las actividades económicas principales; es decir, cuando el perfil de posibles resultados de un instrumento y/o contrato derivado o una combinación de ellos, se oriente a compensar el perfil de posibles resultados emergentes de la posición de riesgo del contribuyente en las transacciones respectivas.</w:t>
      </w:r>
    </w:p>
    <w:p w14:paraId="48A70D29" w14:textId="77777777" w:rsidR="00C43B94" w:rsidRDefault="00C43B94" w:rsidP="001C6BD1">
      <w:pPr>
        <w:ind w:right="105"/>
        <w:jc w:val="both"/>
        <w:rPr>
          <w:rFonts w:ascii="Arial" w:hAnsi="Arial" w:cs="Arial"/>
          <w:sz w:val="24"/>
          <w:szCs w:val="24"/>
          <w:lang w:val="es-ES"/>
        </w:rPr>
      </w:pPr>
    </w:p>
    <w:p w14:paraId="4BB0C273" w14:textId="77777777" w:rsidR="00C43B94" w:rsidRPr="001C6BD1" w:rsidRDefault="00C43B94" w:rsidP="001C6BD1">
      <w:pPr>
        <w:ind w:right="105"/>
        <w:jc w:val="both"/>
        <w:rPr>
          <w:rFonts w:ascii="Arial" w:hAnsi="Arial" w:cs="Arial"/>
          <w:sz w:val="24"/>
          <w:szCs w:val="24"/>
          <w:lang w:val="es-ES"/>
        </w:rPr>
      </w:pPr>
      <w:r w:rsidRPr="001C6BD1">
        <w:rPr>
          <w:rFonts w:ascii="Arial" w:hAnsi="Arial" w:cs="Arial"/>
          <w:sz w:val="24"/>
          <w:szCs w:val="24"/>
          <w:lang w:val="es-ES"/>
        </w:rPr>
        <w:lastRenderedPageBreak/>
        <w:t>Entre las fluctuaciones citadas también se encuentran comprendidas las que devienen de precios o de tasas de mercados que se apliquen a la adquisición de bienes y servicios, así como al financiamiento, que se lleven a cabo en el desarrollo de la o las actividades económicas principales del contribuyente.</w:t>
      </w:r>
    </w:p>
    <w:p w14:paraId="57208679" w14:textId="77777777" w:rsidR="00C43B94" w:rsidRDefault="00C43B94" w:rsidP="001C6BD1">
      <w:pPr>
        <w:ind w:right="105"/>
        <w:jc w:val="both"/>
        <w:rPr>
          <w:rFonts w:ascii="Arial" w:hAnsi="Arial" w:cs="Arial"/>
          <w:sz w:val="24"/>
          <w:szCs w:val="24"/>
          <w:lang w:val="es-ES"/>
        </w:rPr>
      </w:pPr>
    </w:p>
    <w:p w14:paraId="15D3C1DA" w14:textId="77777777" w:rsidR="00C43B94" w:rsidRPr="001C6BD1" w:rsidRDefault="00C43B94" w:rsidP="001C6BD1">
      <w:pPr>
        <w:ind w:right="105"/>
        <w:jc w:val="both"/>
        <w:rPr>
          <w:rFonts w:ascii="Arial" w:hAnsi="Arial" w:cs="Arial"/>
          <w:sz w:val="24"/>
          <w:szCs w:val="24"/>
          <w:lang w:val="es-ES"/>
        </w:rPr>
      </w:pPr>
      <w:r w:rsidRPr="001C6BD1">
        <w:rPr>
          <w:rFonts w:ascii="Arial" w:hAnsi="Arial" w:cs="Arial"/>
          <w:sz w:val="24"/>
          <w:szCs w:val="24"/>
          <w:lang w:val="es-ES"/>
        </w:rPr>
        <w:t>b) Posea vinculación directa con la o las actividades económicas principales del contribuyente y que el elemento subyacente también guarde relación con la o las actividades aludidas.</w:t>
      </w:r>
    </w:p>
    <w:p w14:paraId="77C07F44" w14:textId="77777777" w:rsidR="00C43B94" w:rsidRDefault="00C43B94" w:rsidP="001C6BD1">
      <w:pPr>
        <w:ind w:right="105"/>
        <w:jc w:val="both"/>
        <w:rPr>
          <w:rFonts w:ascii="Arial" w:hAnsi="Arial" w:cs="Arial"/>
          <w:sz w:val="24"/>
          <w:szCs w:val="24"/>
          <w:lang w:val="es-ES"/>
        </w:rPr>
      </w:pPr>
    </w:p>
    <w:p w14:paraId="2EDF40F3" w14:textId="77777777" w:rsidR="00C43B94" w:rsidRPr="001C6BD1" w:rsidRDefault="00C43B94" w:rsidP="001C6BD1">
      <w:pPr>
        <w:ind w:right="105"/>
        <w:jc w:val="both"/>
        <w:rPr>
          <w:rFonts w:ascii="Arial" w:hAnsi="Arial" w:cs="Arial"/>
          <w:sz w:val="24"/>
          <w:szCs w:val="24"/>
          <w:lang w:val="es-ES"/>
        </w:rPr>
      </w:pPr>
      <w:r w:rsidRPr="001C6BD1">
        <w:rPr>
          <w:rFonts w:ascii="Arial" w:hAnsi="Arial" w:cs="Arial"/>
          <w:sz w:val="24"/>
          <w:szCs w:val="24"/>
          <w:lang w:val="es-ES"/>
        </w:rPr>
        <w:t>c) Sea cuantitativa y temporalmente acorde con el riesgo que se pretende cubrir -total o parcialmente- y que en ningún caso lo supere.</w:t>
      </w:r>
    </w:p>
    <w:p w14:paraId="45CB7DD3" w14:textId="77777777" w:rsidR="00C43B94" w:rsidRDefault="00C43B94" w:rsidP="001C6BD1">
      <w:pPr>
        <w:ind w:right="105"/>
        <w:jc w:val="both"/>
        <w:rPr>
          <w:rFonts w:ascii="Arial" w:hAnsi="Arial" w:cs="Arial"/>
          <w:sz w:val="24"/>
          <w:szCs w:val="24"/>
          <w:lang w:val="es-ES"/>
        </w:rPr>
      </w:pPr>
    </w:p>
    <w:p w14:paraId="2AA6CF6F" w14:textId="77777777" w:rsidR="00C43B94" w:rsidRPr="001C6BD1" w:rsidRDefault="00C43B94" w:rsidP="001C6BD1">
      <w:pPr>
        <w:ind w:right="105"/>
        <w:jc w:val="both"/>
        <w:rPr>
          <w:rFonts w:ascii="Arial" w:hAnsi="Arial" w:cs="Arial"/>
          <w:sz w:val="24"/>
          <w:szCs w:val="24"/>
          <w:lang w:val="es-ES"/>
        </w:rPr>
      </w:pPr>
      <w:r w:rsidRPr="001C6BD1">
        <w:rPr>
          <w:rFonts w:ascii="Arial" w:hAnsi="Arial" w:cs="Arial"/>
          <w:sz w:val="24"/>
          <w:szCs w:val="24"/>
          <w:lang w:val="es-ES"/>
        </w:rPr>
        <w:t>Cuando la posición o transacción cubierta hubiera expirado, sido discontinuada o se hubiera producido cualquier otra circunstancia por la cual la exposición al riesgo hubiese desaparecido o dejado de existir, dicha operación perderá la condición de cobertura desde el momento en que tal hecho ocurra.</w:t>
      </w:r>
    </w:p>
    <w:p w14:paraId="5C70AF9D" w14:textId="77777777" w:rsidR="00C43B94" w:rsidRDefault="00C43B94" w:rsidP="001C6BD1">
      <w:pPr>
        <w:ind w:right="105"/>
        <w:jc w:val="both"/>
        <w:rPr>
          <w:rFonts w:ascii="Arial" w:hAnsi="Arial" w:cs="Arial"/>
          <w:sz w:val="24"/>
          <w:szCs w:val="24"/>
          <w:lang w:val="es-ES"/>
        </w:rPr>
      </w:pPr>
    </w:p>
    <w:p w14:paraId="6A0DEF27" w14:textId="77777777" w:rsidR="00C43B94" w:rsidRPr="001C6BD1" w:rsidRDefault="00C43B94" w:rsidP="001C6BD1">
      <w:pPr>
        <w:ind w:right="105"/>
        <w:jc w:val="both"/>
        <w:rPr>
          <w:rFonts w:ascii="Arial" w:hAnsi="Arial" w:cs="Arial"/>
          <w:sz w:val="24"/>
          <w:szCs w:val="24"/>
          <w:lang w:val="es-ES"/>
        </w:rPr>
      </w:pPr>
      <w:r w:rsidRPr="001C6BD1">
        <w:rPr>
          <w:rFonts w:ascii="Arial" w:hAnsi="Arial" w:cs="Arial"/>
          <w:sz w:val="24"/>
          <w:szCs w:val="24"/>
          <w:lang w:val="es-ES"/>
        </w:rPr>
        <w:t>d) Se encuentre explícitamente identificada desde su nacimiento con lo que se pretende cubrir.</w:t>
      </w:r>
    </w:p>
    <w:p w14:paraId="4C248801" w14:textId="77777777" w:rsidR="00C43B94" w:rsidRPr="001C6BD1" w:rsidRDefault="00C43B94" w:rsidP="001C6BD1">
      <w:pPr>
        <w:jc w:val="both"/>
        <w:rPr>
          <w:rFonts w:ascii="Arial" w:hAnsi="Arial" w:cs="Arial"/>
          <w:sz w:val="24"/>
          <w:szCs w:val="24"/>
          <w:lang w:val="es-ES"/>
        </w:rPr>
      </w:pPr>
    </w:p>
    <w:p w14:paraId="179F7292" w14:textId="77777777" w:rsidR="00C43B94" w:rsidRPr="00203017" w:rsidRDefault="00C43B94" w:rsidP="00CA60AF">
      <w:pPr>
        <w:jc w:val="both"/>
        <w:rPr>
          <w:rFonts w:ascii="Arial" w:hAnsi="Arial" w:cs="Arial"/>
          <w:sz w:val="24"/>
          <w:szCs w:val="24"/>
          <w:lang w:val="es-ES"/>
        </w:rPr>
      </w:pPr>
    </w:p>
    <w:p w14:paraId="75708BB1" w14:textId="6C5617D3" w:rsidR="00C43B94" w:rsidRPr="003C69AF" w:rsidRDefault="00C43B94" w:rsidP="00CA60AF">
      <w:pPr>
        <w:jc w:val="both"/>
        <w:rPr>
          <w:rFonts w:ascii="Arial" w:hAnsi="Arial" w:cs="Arial"/>
          <w:b/>
          <w:bCs/>
          <w:sz w:val="24"/>
          <w:szCs w:val="24"/>
          <w:lang w:val="es-ES"/>
        </w:rPr>
      </w:pPr>
      <w:r w:rsidRPr="003C69AF">
        <w:rPr>
          <w:rFonts w:ascii="Arial" w:hAnsi="Arial" w:cs="Arial"/>
          <w:b/>
          <w:bCs/>
          <w:sz w:val="24"/>
          <w:szCs w:val="24"/>
          <w:lang w:val="es-ES"/>
        </w:rPr>
        <w:t>5.-</w:t>
      </w:r>
      <w:r w:rsidRPr="003C69AF">
        <w:rPr>
          <w:rFonts w:ascii="Arial" w:hAnsi="Arial" w:cs="Arial"/>
          <w:b/>
          <w:bCs/>
          <w:sz w:val="24"/>
          <w:szCs w:val="24"/>
          <w:u w:val="single"/>
          <w:lang w:val="es-ES"/>
        </w:rPr>
        <w:t xml:space="preserve"> Los quebrantos se trasladan a moneda constante, o se deterioran por el efecto inflacionario</w:t>
      </w:r>
      <w:r w:rsidRPr="003C69AF">
        <w:rPr>
          <w:rFonts w:ascii="Arial" w:hAnsi="Arial" w:cs="Arial"/>
          <w:b/>
          <w:bCs/>
          <w:sz w:val="24"/>
          <w:szCs w:val="24"/>
          <w:lang w:val="es-ES"/>
        </w:rPr>
        <w:t>.</w:t>
      </w:r>
    </w:p>
    <w:p w14:paraId="277313DC" w14:textId="04CDA06A" w:rsidR="005E4A2A" w:rsidRDefault="005E4A2A" w:rsidP="00CA60AF">
      <w:pPr>
        <w:jc w:val="both"/>
        <w:rPr>
          <w:rFonts w:ascii="Arial" w:hAnsi="Arial" w:cs="Arial"/>
          <w:sz w:val="24"/>
          <w:szCs w:val="24"/>
          <w:lang w:val="es-ES"/>
        </w:rPr>
      </w:pPr>
    </w:p>
    <w:p w14:paraId="09564FF2" w14:textId="492BC70D" w:rsidR="005E4A2A" w:rsidRDefault="005E4A2A" w:rsidP="005E4A2A">
      <w:pPr>
        <w:jc w:val="both"/>
        <w:rPr>
          <w:rFonts w:ascii="Arial" w:hAnsi="Arial" w:cs="Arial"/>
          <w:sz w:val="24"/>
          <w:szCs w:val="24"/>
          <w:lang w:val="es-ES"/>
        </w:rPr>
      </w:pPr>
      <w:r w:rsidRPr="005E4A2A">
        <w:rPr>
          <w:rFonts w:ascii="Arial" w:hAnsi="Arial" w:cs="Arial"/>
          <w:sz w:val="24"/>
          <w:szCs w:val="24"/>
          <w:lang w:val="es-ES"/>
        </w:rPr>
        <w:t xml:space="preserve">A modo de ejemplo evaluamos sus alcances, al segregar </w:t>
      </w:r>
      <w:r w:rsidR="008B4FE0">
        <w:rPr>
          <w:rFonts w:ascii="Arial" w:hAnsi="Arial" w:cs="Arial"/>
          <w:sz w:val="24"/>
          <w:szCs w:val="24"/>
          <w:lang w:val="es-ES"/>
        </w:rPr>
        <w:t xml:space="preserve">el </w:t>
      </w:r>
      <w:r w:rsidR="008B4FE0" w:rsidRPr="003C5118">
        <w:rPr>
          <w:rFonts w:ascii="Arial" w:hAnsi="Arial" w:cs="Arial"/>
          <w:b/>
          <w:bCs/>
          <w:sz w:val="24"/>
          <w:szCs w:val="24"/>
          <w:lang w:val="es-ES"/>
        </w:rPr>
        <w:t>Total del Quebranto</w:t>
      </w:r>
      <w:r w:rsidR="008B4FE0">
        <w:rPr>
          <w:rFonts w:ascii="Arial" w:hAnsi="Arial" w:cs="Arial"/>
          <w:sz w:val="24"/>
          <w:szCs w:val="24"/>
          <w:lang w:val="es-ES"/>
        </w:rPr>
        <w:t xml:space="preserve"> en </w:t>
      </w:r>
      <w:r w:rsidRPr="005E4A2A">
        <w:rPr>
          <w:rFonts w:ascii="Arial" w:hAnsi="Arial" w:cs="Arial"/>
          <w:sz w:val="24"/>
          <w:szCs w:val="24"/>
          <w:lang w:val="es-ES"/>
        </w:rPr>
        <w:t xml:space="preserve">las distintas manifestaciones de quebrantos imputables al sujeto pasivo. </w:t>
      </w:r>
    </w:p>
    <w:p w14:paraId="226F8EB3" w14:textId="2CC22280" w:rsidR="004566A8" w:rsidRDefault="004566A8" w:rsidP="005E4A2A">
      <w:pPr>
        <w:jc w:val="both"/>
        <w:rPr>
          <w:rFonts w:ascii="Arial" w:hAnsi="Arial" w:cs="Arial"/>
          <w:sz w:val="24"/>
          <w:szCs w:val="24"/>
          <w:lang w:val="es-ES"/>
        </w:rPr>
      </w:pPr>
    </w:p>
    <w:tbl>
      <w:tblPr>
        <w:tblStyle w:val="Tabladecuadrcula4-nfasis1"/>
        <w:tblW w:w="0" w:type="auto"/>
        <w:tblLook w:val="04A0" w:firstRow="1" w:lastRow="0" w:firstColumn="1" w:lastColumn="0" w:noHBand="0" w:noVBand="1"/>
      </w:tblPr>
      <w:tblGrid>
        <w:gridCol w:w="4247"/>
        <w:gridCol w:w="4247"/>
      </w:tblGrid>
      <w:tr w:rsidR="004566A8" w14:paraId="3C9F0589" w14:textId="77777777" w:rsidTr="00C60C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7" w:type="dxa"/>
          </w:tcPr>
          <w:p w14:paraId="34B46B6F" w14:textId="1B2FCDD0" w:rsidR="004566A8" w:rsidRDefault="004566A8" w:rsidP="004566A8">
            <w:pPr>
              <w:jc w:val="center"/>
              <w:rPr>
                <w:rFonts w:ascii="Arial" w:hAnsi="Arial" w:cs="Arial"/>
                <w:sz w:val="24"/>
                <w:szCs w:val="24"/>
                <w:lang w:val="es-ES"/>
              </w:rPr>
            </w:pPr>
            <w:r>
              <w:rPr>
                <w:rFonts w:ascii="Arial" w:hAnsi="Arial" w:cs="Arial"/>
                <w:sz w:val="24"/>
                <w:szCs w:val="24"/>
                <w:lang w:val="es-ES"/>
              </w:rPr>
              <w:t>Tipo de quebranto</w:t>
            </w:r>
          </w:p>
        </w:tc>
        <w:tc>
          <w:tcPr>
            <w:tcW w:w="4247" w:type="dxa"/>
          </w:tcPr>
          <w:p w14:paraId="088A4C55" w14:textId="16D2E9D1" w:rsidR="004566A8" w:rsidRDefault="004566A8" w:rsidP="004566A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Imputación</w:t>
            </w:r>
          </w:p>
        </w:tc>
      </w:tr>
      <w:tr w:rsidR="004566A8" w14:paraId="0DD00EEE" w14:textId="77777777" w:rsidTr="00C60C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7" w:type="dxa"/>
          </w:tcPr>
          <w:p w14:paraId="3BA43C80" w14:textId="70BB326F" w:rsidR="004566A8" w:rsidRDefault="004566A8" w:rsidP="005E4A2A">
            <w:pPr>
              <w:jc w:val="both"/>
              <w:rPr>
                <w:rFonts w:ascii="Arial" w:hAnsi="Arial" w:cs="Arial"/>
                <w:sz w:val="24"/>
                <w:szCs w:val="24"/>
                <w:lang w:val="es-ES"/>
              </w:rPr>
            </w:pPr>
            <w:r>
              <w:rPr>
                <w:rFonts w:ascii="Arial" w:hAnsi="Arial" w:cs="Arial"/>
                <w:sz w:val="24"/>
                <w:szCs w:val="24"/>
                <w:lang w:val="es-ES"/>
              </w:rPr>
              <w:t>Quebranto impositivo en base nominal</w:t>
            </w:r>
          </w:p>
        </w:tc>
        <w:tc>
          <w:tcPr>
            <w:tcW w:w="4247" w:type="dxa"/>
          </w:tcPr>
          <w:p w14:paraId="26B1CB46" w14:textId="425E8E2D" w:rsidR="004566A8" w:rsidRDefault="004566A8" w:rsidP="005E4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Imputable contra ganancias de </w:t>
            </w:r>
            <w:r w:rsidR="008B4FE0">
              <w:rPr>
                <w:rFonts w:ascii="Arial" w:hAnsi="Arial" w:cs="Arial"/>
                <w:sz w:val="24"/>
                <w:szCs w:val="24"/>
                <w:lang w:val="es-ES"/>
              </w:rPr>
              <w:t xml:space="preserve">los siguientes </w:t>
            </w:r>
            <w:r>
              <w:rPr>
                <w:rFonts w:ascii="Arial" w:hAnsi="Arial" w:cs="Arial"/>
                <w:sz w:val="24"/>
                <w:szCs w:val="24"/>
                <w:lang w:val="es-ES"/>
              </w:rPr>
              <w:t xml:space="preserve">cinco años </w:t>
            </w:r>
          </w:p>
        </w:tc>
      </w:tr>
      <w:tr w:rsidR="004566A8" w14:paraId="767AE13F" w14:textId="77777777" w:rsidTr="00C60CDA">
        <w:tc>
          <w:tcPr>
            <w:cnfStyle w:val="001000000000" w:firstRow="0" w:lastRow="0" w:firstColumn="1" w:lastColumn="0" w:oddVBand="0" w:evenVBand="0" w:oddHBand="0" w:evenHBand="0" w:firstRowFirstColumn="0" w:firstRowLastColumn="0" w:lastRowFirstColumn="0" w:lastRowLastColumn="0"/>
            <w:tcW w:w="4247" w:type="dxa"/>
          </w:tcPr>
          <w:p w14:paraId="261876CE" w14:textId="5E9AC781" w:rsidR="004566A8" w:rsidRDefault="004566A8" w:rsidP="005E4A2A">
            <w:pPr>
              <w:jc w:val="both"/>
              <w:rPr>
                <w:rFonts w:ascii="Arial" w:hAnsi="Arial" w:cs="Arial"/>
                <w:sz w:val="24"/>
                <w:szCs w:val="24"/>
                <w:lang w:val="es-ES"/>
              </w:rPr>
            </w:pPr>
            <w:r>
              <w:rPr>
                <w:rFonts w:ascii="Arial" w:hAnsi="Arial" w:cs="Arial"/>
                <w:sz w:val="24"/>
                <w:szCs w:val="24"/>
                <w:lang w:val="es-ES"/>
              </w:rPr>
              <w:t>Quebranto del ajuste por inflación</w:t>
            </w:r>
          </w:p>
        </w:tc>
        <w:tc>
          <w:tcPr>
            <w:tcW w:w="4247" w:type="dxa"/>
          </w:tcPr>
          <w:p w14:paraId="13928166" w14:textId="50C0B1BD" w:rsidR="004566A8" w:rsidRDefault="004566A8" w:rsidP="005E4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Sólo se imputa 1/6 en el caso de un ajuste</w:t>
            </w:r>
            <w:r w:rsidR="008B4FE0">
              <w:rPr>
                <w:rFonts w:ascii="Arial" w:hAnsi="Arial" w:cs="Arial"/>
                <w:sz w:val="24"/>
                <w:szCs w:val="24"/>
                <w:lang w:val="es-ES"/>
              </w:rPr>
              <w:t xml:space="preserve">. El </w:t>
            </w:r>
            <w:r>
              <w:rPr>
                <w:rFonts w:ascii="Arial" w:hAnsi="Arial" w:cs="Arial"/>
                <w:sz w:val="24"/>
                <w:szCs w:val="24"/>
                <w:lang w:val="es-ES"/>
              </w:rPr>
              <w:t xml:space="preserve">quebranto total por ajuste por inflación </w:t>
            </w:r>
            <w:r w:rsidR="008B4FE0">
              <w:rPr>
                <w:rFonts w:ascii="Arial" w:hAnsi="Arial" w:cs="Arial"/>
                <w:sz w:val="24"/>
                <w:szCs w:val="24"/>
                <w:lang w:val="es-ES"/>
              </w:rPr>
              <w:t>se reconoce diferido en los seis ejercicios siguientes</w:t>
            </w:r>
            <w:r>
              <w:rPr>
                <w:rFonts w:ascii="Arial" w:hAnsi="Arial" w:cs="Arial"/>
                <w:sz w:val="24"/>
                <w:szCs w:val="24"/>
                <w:lang w:val="es-ES"/>
              </w:rPr>
              <w:t xml:space="preserve"> sin ajuste por inflación. </w:t>
            </w:r>
          </w:p>
        </w:tc>
      </w:tr>
      <w:tr w:rsidR="004566A8" w14:paraId="764968B2" w14:textId="77777777" w:rsidTr="00C60C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7" w:type="dxa"/>
          </w:tcPr>
          <w:p w14:paraId="3A33BA9A" w14:textId="429E2BA5" w:rsidR="004566A8" w:rsidRDefault="004566A8" w:rsidP="005E4A2A">
            <w:pPr>
              <w:jc w:val="both"/>
              <w:rPr>
                <w:rFonts w:ascii="Arial" w:hAnsi="Arial" w:cs="Arial"/>
                <w:sz w:val="24"/>
                <w:szCs w:val="24"/>
                <w:lang w:val="es-ES"/>
              </w:rPr>
            </w:pPr>
            <w:r>
              <w:rPr>
                <w:rFonts w:ascii="Arial" w:hAnsi="Arial" w:cs="Arial"/>
                <w:sz w:val="24"/>
                <w:szCs w:val="24"/>
                <w:lang w:val="es-ES"/>
              </w:rPr>
              <w:t>Quebranto financiero no computable</w:t>
            </w:r>
          </w:p>
        </w:tc>
        <w:tc>
          <w:tcPr>
            <w:tcW w:w="4247" w:type="dxa"/>
          </w:tcPr>
          <w:p w14:paraId="6D8A8627" w14:textId="23D31094" w:rsidR="004566A8" w:rsidRDefault="004566A8" w:rsidP="005E4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sidRPr="005E4A2A">
              <w:rPr>
                <w:rFonts w:ascii="Arial" w:hAnsi="Arial" w:cs="Arial"/>
                <w:sz w:val="24"/>
                <w:szCs w:val="24"/>
                <w:lang w:val="es-ES"/>
              </w:rPr>
              <w:t xml:space="preserve">tope del 30% utilidad, el remanente </w:t>
            </w:r>
            <w:r w:rsidR="008B4FE0">
              <w:rPr>
                <w:rFonts w:ascii="Arial" w:hAnsi="Arial" w:cs="Arial"/>
                <w:sz w:val="24"/>
                <w:szCs w:val="24"/>
                <w:lang w:val="es-ES"/>
              </w:rPr>
              <w:t xml:space="preserve">de carga financiera se </w:t>
            </w:r>
            <w:r w:rsidR="003C5118">
              <w:rPr>
                <w:rFonts w:ascii="Arial" w:hAnsi="Arial" w:cs="Arial"/>
                <w:sz w:val="24"/>
                <w:szCs w:val="24"/>
                <w:lang w:val="es-ES"/>
              </w:rPr>
              <w:t>difiere</w:t>
            </w:r>
            <w:r w:rsidR="008B4FE0">
              <w:rPr>
                <w:rFonts w:ascii="Arial" w:hAnsi="Arial" w:cs="Arial"/>
                <w:sz w:val="24"/>
                <w:szCs w:val="24"/>
                <w:lang w:val="es-ES"/>
              </w:rPr>
              <w:t xml:space="preserve"> </w:t>
            </w:r>
            <w:r w:rsidRPr="005E4A2A">
              <w:rPr>
                <w:rFonts w:ascii="Arial" w:hAnsi="Arial" w:cs="Arial"/>
                <w:sz w:val="24"/>
                <w:szCs w:val="24"/>
                <w:lang w:val="es-ES"/>
              </w:rPr>
              <w:t>hasta en cinco ejercicios</w:t>
            </w:r>
            <w:r w:rsidR="00542BD1">
              <w:rPr>
                <w:rFonts w:ascii="Arial" w:hAnsi="Arial" w:cs="Arial"/>
                <w:sz w:val="24"/>
                <w:szCs w:val="24"/>
                <w:lang w:val="es-ES"/>
              </w:rPr>
              <w:t xml:space="preserve"> siguientes</w:t>
            </w:r>
            <w:r>
              <w:rPr>
                <w:rFonts w:ascii="Arial" w:hAnsi="Arial" w:cs="Arial"/>
                <w:sz w:val="24"/>
                <w:szCs w:val="24"/>
                <w:lang w:val="es-ES"/>
              </w:rPr>
              <w:t xml:space="preserve">. </w:t>
            </w:r>
            <w:r w:rsidRPr="005E4A2A">
              <w:rPr>
                <w:rFonts w:ascii="Arial" w:hAnsi="Arial" w:cs="Arial"/>
                <w:sz w:val="24"/>
                <w:szCs w:val="24"/>
                <w:lang w:val="es-ES"/>
              </w:rPr>
              <w:t>sin ajuste por inflación</w:t>
            </w:r>
            <w:r w:rsidR="008B4FE0">
              <w:rPr>
                <w:rFonts w:ascii="Arial" w:hAnsi="Arial" w:cs="Arial"/>
                <w:sz w:val="24"/>
                <w:szCs w:val="24"/>
                <w:lang w:val="es-ES"/>
              </w:rPr>
              <w:t>.</w:t>
            </w:r>
          </w:p>
        </w:tc>
      </w:tr>
    </w:tbl>
    <w:p w14:paraId="1D43090D" w14:textId="3E81DC7B" w:rsidR="005E4A2A" w:rsidRPr="005E4A2A" w:rsidRDefault="005E4A2A" w:rsidP="004566A8">
      <w:pPr>
        <w:jc w:val="both"/>
        <w:rPr>
          <w:rFonts w:ascii="Arial" w:hAnsi="Arial" w:cs="Arial"/>
          <w:sz w:val="24"/>
          <w:szCs w:val="24"/>
          <w:lang w:val="es-ES"/>
        </w:rPr>
      </w:pPr>
    </w:p>
    <w:p w14:paraId="5F8FAC8A" w14:textId="5B3DC1B3" w:rsidR="005E4A2A" w:rsidRDefault="005E4A2A" w:rsidP="005E4A2A">
      <w:pPr>
        <w:jc w:val="both"/>
        <w:rPr>
          <w:rFonts w:ascii="Arial" w:hAnsi="Arial" w:cs="Arial"/>
          <w:sz w:val="24"/>
          <w:szCs w:val="24"/>
          <w:lang w:val="es-ES"/>
        </w:rPr>
      </w:pPr>
      <w:r w:rsidRPr="005E4A2A">
        <w:rPr>
          <w:rFonts w:ascii="Arial" w:hAnsi="Arial" w:cs="Arial"/>
          <w:sz w:val="24"/>
          <w:szCs w:val="24"/>
          <w:lang w:val="es-ES"/>
        </w:rPr>
        <w:t xml:space="preserve">El cuadro precedente muestra distintas inequidades que entendemos deben ser objeto de modificación, al eliminar los diferimientos solo justificados por razones </w:t>
      </w:r>
      <w:r w:rsidR="004566A8">
        <w:rPr>
          <w:rFonts w:ascii="Arial" w:hAnsi="Arial" w:cs="Arial"/>
          <w:sz w:val="24"/>
          <w:szCs w:val="24"/>
          <w:lang w:val="es-ES"/>
        </w:rPr>
        <w:t>coyunturales</w:t>
      </w:r>
      <w:r w:rsidRPr="005E4A2A">
        <w:rPr>
          <w:rFonts w:ascii="Arial" w:hAnsi="Arial" w:cs="Arial"/>
          <w:sz w:val="24"/>
          <w:szCs w:val="24"/>
          <w:lang w:val="es-ES"/>
        </w:rPr>
        <w:t xml:space="preserve">, y de mantenerse la restricción su </w:t>
      </w:r>
      <w:r w:rsidR="0007259E">
        <w:rPr>
          <w:rFonts w:ascii="Arial" w:hAnsi="Arial" w:cs="Arial"/>
          <w:sz w:val="24"/>
          <w:szCs w:val="24"/>
          <w:lang w:val="es-ES"/>
        </w:rPr>
        <w:t xml:space="preserve">diferimiento </w:t>
      </w:r>
      <w:r>
        <w:rPr>
          <w:rFonts w:ascii="Arial" w:hAnsi="Arial" w:cs="Arial"/>
          <w:sz w:val="24"/>
          <w:szCs w:val="24"/>
          <w:lang w:val="es-ES"/>
        </w:rPr>
        <w:t>s</w:t>
      </w:r>
      <w:r w:rsidR="004566A8">
        <w:rPr>
          <w:rFonts w:ascii="Arial" w:hAnsi="Arial" w:cs="Arial"/>
          <w:sz w:val="24"/>
          <w:szCs w:val="24"/>
          <w:lang w:val="es-ES"/>
        </w:rPr>
        <w:t>ó</w:t>
      </w:r>
      <w:r>
        <w:rPr>
          <w:rFonts w:ascii="Arial" w:hAnsi="Arial" w:cs="Arial"/>
          <w:sz w:val="24"/>
          <w:szCs w:val="24"/>
          <w:lang w:val="es-ES"/>
        </w:rPr>
        <w:t xml:space="preserve">lo se preserva si es posible </w:t>
      </w:r>
      <w:r w:rsidRPr="005E4A2A">
        <w:rPr>
          <w:rFonts w:ascii="Arial" w:hAnsi="Arial" w:cs="Arial"/>
          <w:sz w:val="24"/>
          <w:szCs w:val="24"/>
          <w:lang w:val="es-ES"/>
        </w:rPr>
        <w:t xml:space="preserve">su </w:t>
      </w:r>
      <w:r w:rsidR="0052663D">
        <w:rPr>
          <w:rFonts w:ascii="Arial" w:hAnsi="Arial" w:cs="Arial"/>
          <w:sz w:val="24"/>
          <w:szCs w:val="24"/>
          <w:lang w:val="es-ES"/>
        </w:rPr>
        <w:t xml:space="preserve">efectivo </w:t>
      </w:r>
      <w:r w:rsidRPr="005E4A2A">
        <w:rPr>
          <w:rFonts w:ascii="Arial" w:hAnsi="Arial" w:cs="Arial"/>
          <w:sz w:val="24"/>
          <w:szCs w:val="24"/>
          <w:lang w:val="es-ES"/>
        </w:rPr>
        <w:t>computo a moneda constante.</w:t>
      </w:r>
    </w:p>
    <w:p w14:paraId="72F51636" w14:textId="26C63E7D" w:rsidR="00C43B94" w:rsidRDefault="00C43B94" w:rsidP="00D5053B">
      <w:pPr>
        <w:jc w:val="both"/>
        <w:rPr>
          <w:rFonts w:ascii="Arial" w:hAnsi="Arial" w:cs="Arial"/>
          <w:sz w:val="24"/>
          <w:szCs w:val="24"/>
          <w:lang w:val="es-ES"/>
        </w:rPr>
      </w:pPr>
    </w:p>
    <w:p w14:paraId="1E57F796" w14:textId="483BD935" w:rsidR="00C43B94" w:rsidRPr="00F650AF" w:rsidRDefault="00C43B94" w:rsidP="00D5053B">
      <w:pPr>
        <w:jc w:val="both"/>
        <w:rPr>
          <w:rFonts w:ascii="Arial" w:hAnsi="Arial" w:cs="Arial"/>
          <w:sz w:val="24"/>
          <w:szCs w:val="24"/>
          <w:u w:val="single"/>
          <w:lang w:val="es-ES"/>
        </w:rPr>
      </w:pPr>
      <w:r>
        <w:rPr>
          <w:rFonts w:ascii="Arial" w:hAnsi="Arial" w:cs="Arial"/>
          <w:sz w:val="24"/>
          <w:szCs w:val="24"/>
          <w:lang w:val="es-ES"/>
        </w:rPr>
        <w:t>5</w:t>
      </w:r>
      <w:r w:rsidR="003C69AF">
        <w:rPr>
          <w:rFonts w:ascii="Arial" w:hAnsi="Arial" w:cs="Arial"/>
          <w:sz w:val="24"/>
          <w:szCs w:val="24"/>
          <w:lang w:val="es-ES"/>
        </w:rPr>
        <w:t>.</w:t>
      </w:r>
      <w:r>
        <w:rPr>
          <w:rFonts w:ascii="Arial" w:hAnsi="Arial" w:cs="Arial"/>
          <w:sz w:val="24"/>
          <w:szCs w:val="24"/>
          <w:lang w:val="es-ES"/>
        </w:rPr>
        <w:t xml:space="preserve">1. </w:t>
      </w:r>
      <w:r w:rsidRPr="00F650AF">
        <w:rPr>
          <w:rFonts w:ascii="Arial" w:hAnsi="Arial" w:cs="Arial"/>
          <w:sz w:val="24"/>
          <w:szCs w:val="24"/>
          <w:u w:val="single"/>
          <w:lang w:val="es-ES"/>
        </w:rPr>
        <w:t>Situación pre-reforma de la Ley N° 27.430</w:t>
      </w:r>
    </w:p>
    <w:p w14:paraId="79ABF1DE" w14:textId="486A68A3" w:rsidR="00C43B94" w:rsidRDefault="00C43B94" w:rsidP="00D5053B">
      <w:pPr>
        <w:jc w:val="both"/>
        <w:rPr>
          <w:rFonts w:ascii="Arial" w:hAnsi="Arial" w:cs="Arial"/>
          <w:sz w:val="24"/>
          <w:szCs w:val="24"/>
          <w:lang w:val="es-ES"/>
        </w:rPr>
      </w:pPr>
    </w:p>
    <w:p w14:paraId="16C89B5C" w14:textId="6B3CD45B" w:rsidR="00C43B94" w:rsidRDefault="00C43B94" w:rsidP="00D5053B">
      <w:pPr>
        <w:jc w:val="both"/>
        <w:rPr>
          <w:rFonts w:ascii="Arial" w:hAnsi="Arial" w:cs="Arial"/>
          <w:sz w:val="24"/>
          <w:szCs w:val="24"/>
          <w:lang w:val="es-ES"/>
        </w:rPr>
      </w:pPr>
      <w:r w:rsidRPr="00203017">
        <w:rPr>
          <w:rFonts w:ascii="Arial" w:hAnsi="Arial" w:cs="Arial"/>
          <w:sz w:val="24"/>
          <w:szCs w:val="24"/>
          <w:lang w:val="es-ES"/>
        </w:rPr>
        <w:t xml:space="preserve">La falta de ajuste a moneda constante de las distintas partidas que convergen a la determinación de la base imponible, entendemos </w:t>
      </w:r>
      <w:r>
        <w:rPr>
          <w:rFonts w:ascii="Arial" w:hAnsi="Arial" w:cs="Arial"/>
          <w:sz w:val="24"/>
          <w:szCs w:val="24"/>
          <w:lang w:val="es-ES"/>
        </w:rPr>
        <w:t xml:space="preserve">que </w:t>
      </w:r>
      <w:r w:rsidRPr="00203017">
        <w:rPr>
          <w:rFonts w:ascii="Arial" w:hAnsi="Arial" w:cs="Arial"/>
          <w:sz w:val="24"/>
          <w:szCs w:val="24"/>
          <w:lang w:val="es-ES"/>
        </w:rPr>
        <w:t>puede dar escenarios de confiscatoriedad cuestionables a nivel judicial</w:t>
      </w:r>
      <w:r>
        <w:rPr>
          <w:rFonts w:ascii="Arial" w:hAnsi="Arial" w:cs="Arial"/>
          <w:sz w:val="24"/>
          <w:szCs w:val="24"/>
          <w:lang w:val="es-ES"/>
        </w:rPr>
        <w:t xml:space="preserve"> que fueron reflejados a partir </w:t>
      </w:r>
      <w:r>
        <w:rPr>
          <w:rFonts w:ascii="Arial" w:hAnsi="Arial" w:cs="Arial"/>
          <w:sz w:val="24"/>
          <w:szCs w:val="24"/>
          <w:lang w:val="es-ES"/>
        </w:rPr>
        <w:lastRenderedPageBreak/>
        <w:t>de la jurisprudencia del caso Candy</w:t>
      </w:r>
      <w:r w:rsidR="0052663D">
        <w:rPr>
          <w:rFonts w:ascii="Arial" w:hAnsi="Arial" w:cs="Arial"/>
          <w:sz w:val="24"/>
          <w:szCs w:val="24"/>
          <w:lang w:val="es-ES"/>
        </w:rPr>
        <w:t>. Cuestionamientos judiciales que seguiremos conociendo en un futuro, salvo una reforma tributaria integral que conlleve a definir la capacidad contributiva a moneda constante.</w:t>
      </w:r>
      <w:r w:rsidRPr="00203017">
        <w:rPr>
          <w:rFonts w:ascii="Arial" w:hAnsi="Arial" w:cs="Arial"/>
          <w:sz w:val="24"/>
          <w:szCs w:val="24"/>
          <w:lang w:val="es-ES"/>
        </w:rPr>
        <w:t xml:space="preserve"> </w:t>
      </w:r>
    </w:p>
    <w:p w14:paraId="3C2B1E27" w14:textId="77777777" w:rsidR="00C43B94" w:rsidRDefault="00C43B94" w:rsidP="00D5053B">
      <w:pPr>
        <w:jc w:val="both"/>
        <w:rPr>
          <w:rFonts w:ascii="Arial" w:hAnsi="Arial" w:cs="Arial"/>
          <w:sz w:val="24"/>
          <w:szCs w:val="24"/>
          <w:lang w:val="es-ES"/>
        </w:rPr>
      </w:pPr>
    </w:p>
    <w:p w14:paraId="3608EAC1" w14:textId="7952B04E" w:rsidR="00C43B94" w:rsidRPr="00F650AF" w:rsidRDefault="00C43B94" w:rsidP="00D5053B">
      <w:pPr>
        <w:jc w:val="both"/>
        <w:rPr>
          <w:rFonts w:ascii="Arial" w:hAnsi="Arial" w:cs="Arial"/>
          <w:sz w:val="24"/>
          <w:szCs w:val="24"/>
          <w:lang w:val="es-ES"/>
        </w:rPr>
      </w:pPr>
      <w:r w:rsidRPr="00F650AF">
        <w:rPr>
          <w:rFonts w:ascii="Arial" w:hAnsi="Arial" w:cs="Arial"/>
          <w:sz w:val="24"/>
          <w:szCs w:val="24"/>
          <w:lang w:val="es-ES"/>
        </w:rPr>
        <w:t>La Corte Suprema de Justicia de la Nación tiene establecido desde antaño, que se verifica una situación de confiscatoriedad cuando el tributo absorbe una porción sustancial de la renta o del capital.</w:t>
      </w:r>
      <w:r>
        <w:rPr>
          <w:rFonts w:ascii="Arial" w:hAnsi="Arial" w:cs="Arial"/>
          <w:sz w:val="24"/>
          <w:szCs w:val="24"/>
          <w:lang w:val="es-ES"/>
        </w:rPr>
        <w:t xml:space="preserve"> E</w:t>
      </w:r>
      <w:r w:rsidRPr="00F650AF">
        <w:rPr>
          <w:rFonts w:ascii="Arial" w:hAnsi="Arial" w:cs="Arial"/>
          <w:sz w:val="24"/>
          <w:szCs w:val="24"/>
          <w:lang w:val="es-ES"/>
        </w:rPr>
        <w:t xml:space="preserve">n la causa </w:t>
      </w:r>
      <w:r w:rsidRPr="005E3C22">
        <w:rPr>
          <w:rFonts w:ascii="Arial" w:hAnsi="Arial" w:cs="Arial"/>
          <w:sz w:val="24"/>
          <w:szCs w:val="24"/>
          <w:lang w:val="es-ES"/>
        </w:rPr>
        <w:t>“Candy”</w:t>
      </w:r>
      <w:r w:rsidR="005E3C22">
        <w:rPr>
          <w:rStyle w:val="Refdenotaalfinal"/>
          <w:rFonts w:ascii="Arial" w:hAnsi="Arial" w:cs="Arial"/>
          <w:sz w:val="24"/>
          <w:szCs w:val="24"/>
          <w:lang w:val="es-ES"/>
        </w:rPr>
        <w:endnoteReference w:id="14"/>
      </w:r>
      <w:r w:rsidR="005E3C22">
        <w:rPr>
          <w:rFonts w:ascii="Arial" w:hAnsi="Arial" w:cs="Arial"/>
          <w:sz w:val="24"/>
          <w:szCs w:val="24"/>
          <w:lang w:val="es-ES"/>
        </w:rPr>
        <w:t xml:space="preserve"> </w:t>
      </w:r>
      <w:r w:rsidRPr="00F650AF">
        <w:rPr>
          <w:rFonts w:ascii="Arial" w:hAnsi="Arial" w:cs="Arial"/>
          <w:sz w:val="24"/>
          <w:szCs w:val="24"/>
          <w:lang w:val="es-ES"/>
        </w:rPr>
        <w:t xml:space="preserve">la Corte se pronunció sobre la situación de confiscatoriedad que se verifica respecto de los contribuyentes del impuesto a las ganancias, cuando la legislación los obliga a determinar la cuantía del gravamen, sin considerar los efectos generados por los cambios ocurridos en el valor de la moneda. </w:t>
      </w:r>
    </w:p>
    <w:p w14:paraId="092DCE61" w14:textId="77777777" w:rsidR="00C43B94" w:rsidRPr="00F650AF" w:rsidRDefault="00C43B94" w:rsidP="00F650AF">
      <w:pPr>
        <w:jc w:val="both"/>
        <w:rPr>
          <w:rFonts w:ascii="Arial" w:hAnsi="Arial" w:cs="Arial"/>
          <w:sz w:val="24"/>
          <w:szCs w:val="24"/>
          <w:lang w:val="es-ES"/>
        </w:rPr>
      </w:pPr>
    </w:p>
    <w:p w14:paraId="0215A4F9" w14:textId="7442AA80" w:rsidR="00C43B94" w:rsidRDefault="00C43B94" w:rsidP="00F650AF">
      <w:pPr>
        <w:jc w:val="both"/>
        <w:rPr>
          <w:rFonts w:ascii="Arial" w:hAnsi="Arial" w:cs="Arial"/>
          <w:sz w:val="24"/>
          <w:szCs w:val="24"/>
          <w:lang w:val="es-ES"/>
        </w:rPr>
      </w:pPr>
      <w:r w:rsidRPr="00F650AF">
        <w:rPr>
          <w:rFonts w:ascii="Arial" w:hAnsi="Arial" w:cs="Arial"/>
          <w:sz w:val="24"/>
          <w:szCs w:val="24"/>
          <w:lang w:val="es-ES"/>
        </w:rPr>
        <w:t xml:space="preserve">En ese escenario, la Corte examinó la proporción que se verificaba entre el importe del impuesto a las ganancias determinado e ingresado por la empresa Candy (sin el cómputo del ajuste por inflación), y la magnitud de la renta calculada con el cómputo del ajuste por inflación, a cuyo efecto consideró tanto la ganancia impositiva ajustada como la ganancia contable ajustada. En el caso, la Corte encontró que el impuesto determinado por la empresa (sin cómputo del ajuste por inflación) resultaba equivalente al 62% de la ganancia impositiva ajustada, y al 55 % de la ganancia contable ajustada. </w:t>
      </w:r>
    </w:p>
    <w:p w14:paraId="3C93EE9B" w14:textId="77777777" w:rsidR="005E3C22" w:rsidRPr="00F650AF" w:rsidRDefault="005E3C22" w:rsidP="00F650AF">
      <w:pPr>
        <w:jc w:val="both"/>
        <w:rPr>
          <w:rFonts w:ascii="Arial" w:hAnsi="Arial" w:cs="Arial"/>
          <w:sz w:val="24"/>
          <w:szCs w:val="24"/>
          <w:lang w:val="es-ES"/>
        </w:rPr>
      </w:pPr>
    </w:p>
    <w:p w14:paraId="626F3708" w14:textId="03CE3912" w:rsidR="00C43B94" w:rsidRDefault="00C43B94" w:rsidP="00F650AF">
      <w:pPr>
        <w:jc w:val="both"/>
        <w:rPr>
          <w:szCs w:val="24"/>
        </w:rPr>
      </w:pPr>
      <w:r w:rsidRPr="00F650AF">
        <w:rPr>
          <w:rFonts w:ascii="Arial" w:hAnsi="Arial" w:cs="Arial"/>
          <w:sz w:val="24"/>
          <w:szCs w:val="24"/>
          <w:lang w:val="es-ES"/>
        </w:rPr>
        <w:t>En función de estos parámetros, la Corte consideró que se verificaba un supuesto de confiscatoriedad, sustentado en la desproporción entre el impuesto determinado y la renta ajustada, determinada en sus dos versiones: impositiva y contable. Esta jurisprudencia ha sido mantenida y reiterada por la Corte en numerosos casos</w:t>
      </w:r>
      <w:r>
        <w:rPr>
          <w:rStyle w:val="Refdenotaalfinal"/>
          <w:rFonts w:ascii="Arial" w:hAnsi="Arial" w:cs="Arial"/>
          <w:sz w:val="24"/>
          <w:szCs w:val="24"/>
          <w:lang w:val="es-ES"/>
        </w:rPr>
        <w:endnoteReference w:id="15"/>
      </w:r>
      <w:r>
        <w:rPr>
          <w:rFonts w:ascii="Arial" w:hAnsi="Arial" w:cs="Arial"/>
          <w:sz w:val="24"/>
          <w:szCs w:val="24"/>
          <w:lang w:val="es-ES"/>
        </w:rPr>
        <w:t>.</w:t>
      </w:r>
    </w:p>
    <w:p w14:paraId="3F93C3D8" w14:textId="77777777" w:rsidR="00C43B94" w:rsidRDefault="00C43B94" w:rsidP="001271A4">
      <w:pPr>
        <w:jc w:val="both"/>
        <w:rPr>
          <w:rFonts w:ascii="Arial" w:hAnsi="Arial" w:cs="Arial"/>
          <w:sz w:val="24"/>
          <w:szCs w:val="24"/>
          <w:lang w:val="es-ES"/>
        </w:rPr>
      </w:pPr>
    </w:p>
    <w:p w14:paraId="3FE3C2DD" w14:textId="78F7D6A9" w:rsidR="00C43B94" w:rsidRDefault="00C43B94" w:rsidP="001271A4">
      <w:pPr>
        <w:jc w:val="both"/>
        <w:rPr>
          <w:rFonts w:ascii="Arial" w:hAnsi="Arial" w:cs="Arial"/>
          <w:sz w:val="24"/>
          <w:szCs w:val="24"/>
          <w:lang w:val="es-ES"/>
        </w:rPr>
      </w:pPr>
      <w:r w:rsidRPr="00203017">
        <w:rPr>
          <w:rFonts w:ascii="Arial" w:hAnsi="Arial" w:cs="Arial"/>
          <w:sz w:val="24"/>
          <w:szCs w:val="24"/>
          <w:lang w:val="es-ES"/>
        </w:rPr>
        <w:t xml:space="preserve">No obstante, los fallos vinculados con el ajuste por inflación cuando </w:t>
      </w:r>
      <w:r>
        <w:rPr>
          <w:rFonts w:ascii="Arial" w:hAnsi="Arial" w:cs="Arial"/>
          <w:sz w:val="24"/>
          <w:szCs w:val="24"/>
          <w:lang w:val="es-ES"/>
        </w:rPr>
        <w:t>el contribuyente</w:t>
      </w:r>
      <w:r w:rsidRPr="00203017">
        <w:rPr>
          <w:rFonts w:ascii="Arial" w:hAnsi="Arial" w:cs="Arial"/>
          <w:sz w:val="24"/>
          <w:szCs w:val="24"/>
          <w:lang w:val="es-ES"/>
        </w:rPr>
        <w:t xml:space="preserve"> tiene quebranto fiscal han sido adversos, el tema tiene otra dimensión cuando se sienten sus efectos en los periodos con base imponible positiva sujeta a impuesto</w:t>
      </w:r>
      <w:r>
        <w:rPr>
          <w:rFonts w:ascii="Arial" w:hAnsi="Arial" w:cs="Arial"/>
          <w:sz w:val="24"/>
          <w:szCs w:val="24"/>
          <w:lang w:val="es-ES"/>
        </w:rPr>
        <w:t>, y no se hace un planteo conceptual de mantenimiento del quebranto a moneda constante.</w:t>
      </w:r>
    </w:p>
    <w:p w14:paraId="1FB77F8A" w14:textId="77777777" w:rsidR="00C43B94" w:rsidRDefault="00C43B94" w:rsidP="001271A4">
      <w:pPr>
        <w:jc w:val="both"/>
        <w:rPr>
          <w:rFonts w:ascii="Arial" w:hAnsi="Arial" w:cs="Arial"/>
          <w:sz w:val="24"/>
          <w:szCs w:val="24"/>
          <w:lang w:val="es-ES"/>
        </w:rPr>
      </w:pPr>
    </w:p>
    <w:p w14:paraId="5DA49025" w14:textId="2DB7E34A" w:rsidR="00C43B94" w:rsidRDefault="00C43B94" w:rsidP="001271A4">
      <w:pPr>
        <w:jc w:val="both"/>
        <w:rPr>
          <w:rFonts w:ascii="Arial" w:hAnsi="Arial" w:cs="Arial"/>
          <w:sz w:val="24"/>
          <w:szCs w:val="24"/>
          <w:lang w:val="es-ES"/>
        </w:rPr>
      </w:pPr>
      <w:r>
        <w:rPr>
          <w:rFonts w:ascii="Arial" w:hAnsi="Arial" w:cs="Arial"/>
          <w:sz w:val="24"/>
          <w:szCs w:val="24"/>
          <w:lang w:val="es-ES"/>
        </w:rPr>
        <w:t>La CSJN</w:t>
      </w:r>
      <w:r w:rsidRPr="00EC206C">
        <w:rPr>
          <w:rFonts w:ascii="Arial" w:hAnsi="Arial" w:cs="Arial"/>
          <w:sz w:val="24"/>
          <w:szCs w:val="24"/>
          <w:lang w:val="es-ES"/>
        </w:rPr>
        <w:t>, en Estancias Argentinas El Hornero S.A.</w:t>
      </w:r>
      <w:r>
        <w:rPr>
          <w:rStyle w:val="Refdenotaalfinal"/>
          <w:rFonts w:ascii="Arial" w:hAnsi="Arial" w:cs="Arial"/>
          <w:sz w:val="24"/>
          <w:szCs w:val="24"/>
          <w:lang w:val="es-ES"/>
        </w:rPr>
        <w:endnoteReference w:id="16"/>
      </w:r>
      <w:r w:rsidRPr="00EC206C">
        <w:rPr>
          <w:rFonts w:ascii="Arial" w:hAnsi="Arial" w:cs="Arial"/>
          <w:sz w:val="24"/>
          <w:szCs w:val="24"/>
          <w:lang w:val="es-ES"/>
        </w:rPr>
        <w:t xml:space="preserve">” </w:t>
      </w:r>
      <w:r>
        <w:rPr>
          <w:rFonts w:ascii="Arial" w:hAnsi="Arial" w:cs="Arial"/>
          <w:sz w:val="24"/>
          <w:szCs w:val="24"/>
          <w:lang w:val="es-ES"/>
        </w:rPr>
        <w:t xml:space="preserve">el contribuyente sostuvo la inconstitucionalidad de las normas que restringían la aplicación del ajuste por inflación previsto para el ejercicio fiscal 2002 ya que le ocasionaba una disminución en sus quebrantos. La pérdida del contribuyente era menor a valores históricos del que surgía de la aplicación a valores históricos.  Entre otros argumentos, con remisión al Dictamen de la Procuradora, la CSJN sostuvo que la confiscatoriedad de un tributo se verificaba cuando este absorbía una parte sustancial del capital o de la renta del contribuyente, y en el caso planteado no había un tributo a pagar que pueda ser cotejado con el capital o la renta gravados para verificar si había una absorción inadmisible de estos. </w:t>
      </w:r>
      <w:r w:rsidR="0052663D">
        <w:rPr>
          <w:rFonts w:ascii="Arial" w:hAnsi="Arial" w:cs="Arial"/>
          <w:sz w:val="24"/>
          <w:szCs w:val="24"/>
          <w:lang w:val="es-ES"/>
        </w:rPr>
        <w:t xml:space="preserve">Un planteo </w:t>
      </w:r>
      <w:r w:rsidR="003C5118">
        <w:rPr>
          <w:rFonts w:ascii="Arial" w:hAnsi="Arial" w:cs="Arial"/>
          <w:sz w:val="24"/>
          <w:szCs w:val="24"/>
          <w:lang w:val="es-ES"/>
        </w:rPr>
        <w:t>teórico</w:t>
      </w:r>
      <w:r w:rsidR="0052663D">
        <w:rPr>
          <w:rFonts w:ascii="Arial" w:hAnsi="Arial" w:cs="Arial"/>
          <w:sz w:val="24"/>
          <w:szCs w:val="24"/>
          <w:lang w:val="es-ES"/>
        </w:rPr>
        <w:t xml:space="preserve"> de una supuesta confiscatoriedad futura, que no podía probarse en la causa.</w:t>
      </w:r>
    </w:p>
    <w:p w14:paraId="0D3AD26E" w14:textId="77777777" w:rsidR="00C43B94" w:rsidRPr="00EC206C" w:rsidRDefault="00C43B94" w:rsidP="001271A4">
      <w:pPr>
        <w:jc w:val="both"/>
        <w:rPr>
          <w:rFonts w:ascii="Arial" w:hAnsi="Arial" w:cs="Arial"/>
          <w:sz w:val="24"/>
          <w:szCs w:val="24"/>
          <w:lang w:val="es-ES"/>
        </w:rPr>
      </w:pPr>
    </w:p>
    <w:p w14:paraId="24A78A86" w14:textId="29313C80" w:rsidR="00C43B94" w:rsidRDefault="00C43B94" w:rsidP="001271A4">
      <w:pPr>
        <w:jc w:val="both"/>
        <w:rPr>
          <w:rFonts w:ascii="Arial" w:hAnsi="Arial" w:cs="Arial"/>
          <w:sz w:val="24"/>
          <w:szCs w:val="24"/>
          <w:lang w:val="es-ES"/>
        </w:rPr>
      </w:pPr>
      <w:r w:rsidRPr="00A9598E">
        <w:rPr>
          <w:rFonts w:ascii="Arial" w:hAnsi="Arial" w:cs="Arial"/>
          <w:sz w:val="24"/>
          <w:szCs w:val="24"/>
          <w:lang w:val="es-ES"/>
        </w:rPr>
        <w:t>En Alubia</w:t>
      </w:r>
      <w:r>
        <w:rPr>
          <w:rFonts w:ascii="Arial" w:hAnsi="Arial" w:cs="Arial"/>
          <w:sz w:val="24"/>
          <w:szCs w:val="24"/>
          <w:lang w:val="es-ES"/>
        </w:rPr>
        <w:t xml:space="preserve"> S.A.</w:t>
      </w:r>
      <w:r>
        <w:rPr>
          <w:rStyle w:val="Refdenotaalfinal"/>
          <w:rFonts w:ascii="Arial" w:hAnsi="Arial" w:cs="Arial"/>
          <w:sz w:val="24"/>
          <w:szCs w:val="24"/>
          <w:lang w:val="es-ES"/>
        </w:rPr>
        <w:endnoteReference w:id="17"/>
      </w:r>
      <w:r w:rsidRPr="00A9598E">
        <w:rPr>
          <w:rFonts w:ascii="Arial" w:hAnsi="Arial" w:cs="Arial"/>
          <w:sz w:val="24"/>
          <w:szCs w:val="24"/>
          <w:lang w:val="es-ES"/>
        </w:rPr>
        <w:t xml:space="preserve"> la Corte </w:t>
      </w:r>
      <w:r>
        <w:rPr>
          <w:rFonts w:ascii="Arial" w:hAnsi="Arial" w:cs="Arial"/>
          <w:sz w:val="24"/>
          <w:szCs w:val="24"/>
          <w:lang w:val="es-ES"/>
        </w:rPr>
        <w:t xml:space="preserve">sostuvo: </w:t>
      </w:r>
      <w:r w:rsidRPr="00A9598E">
        <w:rPr>
          <w:rFonts w:ascii="Arial" w:hAnsi="Arial" w:cs="Arial"/>
          <w:sz w:val="24"/>
          <w:szCs w:val="24"/>
          <w:lang w:val="es-ES"/>
        </w:rPr>
        <w:t xml:space="preserve">“Que, sin embargo, en lo referente al quebranto que surgiría de aplicar el referido mecanismo al período fiscal 2002, y que la actora utilizó en el período fiscal 2003, corresponde recordar que esta Corte sostuvo en la causa ‘Estancias Argentinas El Hornero SA’ (Fallos: 335:1923), a cuyos fundamentos corresponde remitirse en lo pertinente por </w:t>
      </w:r>
      <w:r w:rsidRPr="00A9598E">
        <w:rPr>
          <w:rFonts w:ascii="Arial" w:hAnsi="Arial" w:cs="Arial"/>
          <w:sz w:val="24"/>
          <w:szCs w:val="24"/>
          <w:lang w:val="es-ES"/>
        </w:rPr>
        <w:lastRenderedPageBreak/>
        <w:t>motivos de brevedad, que los quebrantos no podían ser encuadrados en los lineamientos del precedente ‘Candy’ por la sencilla razón de que, en tal supuesto, ‘no hay tributo a pagar que pueda ser cotejado con el capital o la renta gravados’.</w:t>
      </w:r>
    </w:p>
    <w:p w14:paraId="4A79F1DF" w14:textId="77777777" w:rsidR="00C43B94" w:rsidRDefault="00C43B94" w:rsidP="001271A4">
      <w:pPr>
        <w:jc w:val="both"/>
        <w:rPr>
          <w:rFonts w:ascii="Arial" w:hAnsi="Arial" w:cs="Arial"/>
          <w:sz w:val="24"/>
          <w:szCs w:val="24"/>
          <w:lang w:val="es-ES"/>
        </w:rPr>
      </w:pPr>
    </w:p>
    <w:p w14:paraId="21B3457C" w14:textId="77777777" w:rsidR="00C43B94" w:rsidRDefault="00C43B94" w:rsidP="00B50BBA">
      <w:pPr>
        <w:jc w:val="both"/>
        <w:rPr>
          <w:rFonts w:ascii="Arial" w:hAnsi="Arial" w:cs="Arial"/>
          <w:sz w:val="24"/>
          <w:szCs w:val="24"/>
          <w:lang w:val="es-ES"/>
        </w:rPr>
      </w:pPr>
      <w:r>
        <w:rPr>
          <w:rFonts w:ascii="Arial" w:hAnsi="Arial" w:cs="Arial"/>
          <w:sz w:val="24"/>
          <w:szCs w:val="24"/>
          <w:lang w:val="es-ES"/>
        </w:rPr>
        <w:t>L</w:t>
      </w:r>
      <w:r w:rsidRPr="00A9598E">
        <w:rPr>
          <w:rFonts w:ascii="Arial" w:hAnsi="Arial" w:cs="Arial"/>
          <w:sz w:val="24"/>
          <w:szCs w:val="24"/>
          <w:lang w:val="es-ES"/>
        </w:rPr>
        <w:t xml:space="preserve">a </w:t>
      </w:r>
      <w:r>
        <w:rPr>
          <w:rFonts w:ascii="Arial" w:hAnsi="Arial" w:cs="Arial"/>
          <w:sz w:val="24"/>
          <w:szCs w:val="24"/>
          <w:lang w:val="es-ES"/>
        </w:rPr>
        <w:t xml:space="preserve">CSJN no convalidó que el mayor quebranto originado en un período fiscal por aplicación del mecanismo por inflación pueda ser </w:t>
      </w:r>
      <w:r w:rsidRPr="00A9598E">
        <w:rPr>
          <w:rFonts w:ascii="Arial" w:hAnsi="Arial" w:cs="Arial"/>
          <w:sz w:val="24"/>
          <w:szCs w:val="24"/>
          <w:lang w:val="es-ES"/>
        </w:rPr>
        <w:t>trasladado para reducir el monto de impuesto a ingresar por el período fiscal siguiente</w:t>
      </w:r>
      <w:r>
        <w:rPr>
          <w:rFonts w:ascii="Arial" w:hAnsi="Arial" w:cs="Arial"/>
          <w:sz w:val="24"/>
          <w:szCs w:val="24"/>
          <w:lang w:val="es-ES"/>
        </w:rPr>
        <w:t xml:space="preserve">. </w:t>
      </w:r>
    </w:p>
    <w:p w14:paraId="68587363" w14:textId="77777777" w:rsidR="00C43B94" w:rsidRDefault="00C43B94" w:rsidP="00B50BBA">
      <w:pPr>
        <w:jc w:val="both"/>
        <w:rPr>
          <w:rFonts w:ascii="Arial" w:hAnsi="Arial" w:cs="Arial"/>
          <w:sz w:val="24"/>
          <w:szCs w:val="24"/>
          <w:lang w:val="es-ES"/>
        </w:rPr>
      </w:pPr>
    </w:p>
    <w:p w14:paraId="6E68A257" w14:textId="5E40C624" w:rsidR="004566A8" w:rsidRDefault="00C43B94" w:rsidP="00C43B94">
      <w:pPr>
        <w:jc w:val="both"/>
        <w:rPr>
          <w:rFonts w:ascii="Arial" w:hAnsi="Arial" w:cs="Arial"/>
          <w:sz w:val="24"/>
          <w:szCs w:val="24"/>
          <w:lang w:val="es-ES"/>
        </w:rPr>
      </w:pPr>
      <w:r>
        <w:rPr>
          <w:rFonts w:ascii="Arial" w:hAnsi="Arial" w:cs="Arial"/>
          <w:sz w:val="24"/>
          <w:szCs w:val="24"/>
          <w:lang w:val="es-ES"/>
        </w:rPr>
        <w:t xml:space="preserve">Sin embargo, cuando se planteó el ajuste por inflación global y sistémico incluyendo la actualización de otras partidas susceptibles de actualización incluyendo los quebrantos, por entender que el art. 39 de la ley 24.073 es manifiestamente inconstitucional, por verificarse un pago efectivo que reflejan tasas exorbitantes y confiscatorias. </w:t>
      </w:r>
      <w:r w:rsidR="0007259E">
        <w:rPr>
          <w:rFonts w:ascii="Arial" w:hAnsi="Arial" w:cs="Arial"/>
          <w:sz w:val="24"/>
          <w:szCs w:val="24"/>
          <w:lang w:val="es-ES"/>
        </w:rPr>
        <w:t xml:space="preserve">Este resulta un planteo equitativo, donde toda la obligación fiscal se determina computando las partidas ajustadas a moneda constante. No </w:t>
      </w:r>
      <w:r w:rsidR="003C5118">
        <w:rPr>
          <w:rFonts w:ascii="Arial" w:hAnsi="Arial" w:cs="Arial"/>
          <w:sz w:val="24"/>
          <w:szCs w:val="24"/>
          <w:lang w:val="es-ES"/>
        </w:rPr>
        <w:t>sería</w:t>
      </w:r>
      <w:r w:rsidR="0007259E">
        <w:rPr>
          <w:rFonts w:ascii="Arial" w:hAnsi="Arial" w:cs="Arial"/>
          <w:sz w:val="24"/>
          <w:szCs w:val="24"/>
          <w:lang w:val="es-ES"/>
        </w:rPr>
        <w:t xml:space="preserve"> razonable</w:t>
      </w:r>
      <w:r w:rsidR="003C5118">
        <w:rPr>
          <w:rFonts w:ascii="Arial" w:hAnsi="Arial" w:cs="Arial"/>
          <w:sz w:val="24"/>
          <w:szCs w:val="24"/>
          <w:lang w:val="es-ES"/>
        </w:rPr>
        <w:t xml:space="preserve"> de acuerdo con el principio de capacidad contributiva</w:t>
      </w:r>
      <w:r w:rsidR="0007259E">
        <w:rPr>
          <w:rFonts w:ascii="Arial" w:hAnsi="Arial" w:cs="Arial"/>
          <w:sz w:val="24"/>
          <w:szCs w:val="24"/>
          <w:lang w:val="es-ES"/>
        </w:rPr>
        <w:t xml:space="preserve"> plantear </w:t>
      </w:r>
      <w:r w:rsidR="006F4319">
        <w:rPr>
          <w:rFonts w:ascii="Arial" w:hAnsi="Arial" w:cs="Arial"/>
          <w:sz w:val="24"/>
          <w:szCs w:val="24"/>
          <w:lang w:val="es-ES"/>
        </w:rPr>
        <w:t xml:space="preserve">exclusivamente </w:t>
      </w:r>
      <w:r w:rsidR="0007259E">
        <w:rPr>
          <w:rFonts w:ascii="Arial" w:hAnsi="Arial" w:cs="Arial"/>
          <w:sz w:val="24"/>
          <w:szCs w:val="24"/>
          <w:lang w:val="es-ES"/>
        </w:rPr>
        <w:t xml:space="preserve">el ajuste de los quebrantos acumulados y </w:t>
      </w:r>
      <w:r w:rsidR="003C5118">
        <w:rPr>
          <w:rFonts w:ascii="Arial" w:hAnsi="Arial" w:cs="Arial"/>
          <w:sz w:val="24"/>
          <w:szCs w:val="24"/>
          <w:lang w:val="es-ES"/>
        </w:rPr>
        <w:t>no considerar</w:t>
      </w:r>
      <w:r w:rsidR="006F4319">
        <w:rPr>
          <w:rFonts w:ascii="Arial" w:hAnsi="Arial" w:cs="Arial"/>
          <w:sz w:val="24"/>
          <w:szCs w:val="24"/>
          <w:lang w:val="es-ES"/>
        </w:rPr>
        <w:t>, por ejemplo,</w:t>
      </w:r>
      <w:r w:rsidR="0007259E">
        <w:rPr>
          <w:rFonts w:ascii="Arial" w:hAnsi="Arial" w:cs="Arial"/>
          <w:sz w:val="24"/>
          <w:szCs w:val="24"/>
          <w:lang w:val="es-ES"/>
        </w:rPr>
        <w:t xml:space="preserve"> si se configura un ajuste integral positivo (ganancia) del periodo.</w:t>
      </w:r>
    </w:p>
    <w:p w14:paraId="1AA1FD06" w14:textId="77777777" w:rsidR="004566A8" w:rsidRDefault="004566A8" w:rsidP="00C43B94">
      <w:pPr>
        <w:jc w:val="both"/>
        <w:rPr>
          <w:rFonts w:ascii="Arial" w:hAnsi="Arial" w:cs="Arial"/>
          <w:sz w:val="24"/>
          <w:szCs w:val="24"/>
          <w:lang w:val="es-ES"/>
        </w:rPr>
      </w:pPr>
    </w:p>
    <w:p w14:paraId="6F7D0E26" w14:textId="77777777" w:rsidR="00C60CDA" w:rsidRDefault="00C43B94" w:rsidP="00C43B94">
      <w:pPr>
        <w:jc w:val="both"/>
        <w:rPr>
          <w:rFonts w:ascii="Arial" w:hAnsi="Arial" w:cs="Arial"/>
          <w:sz w:val="24"/>
          <w:szCs w:val="24"/>
          <w:lang w:val="es-ES"/>
        </w:rPr>
      </w:pPr>
      <w:r>
        <w:rPr>
          <w:rFonts w:ascii="Arial" w:hAnsi="Arial" w:cs="Arial"/>
          <w:sz w:val="24"/>
          <w:szCs w:val="24"/>
          <w:lang w:val="es-ES"/>
        </w:rPr>
        <w:t xml:space="preserve">En tal sentido, en la causa </w:t>
      </w:r>
      <w:r w:rsidRPr="00B50BBA">
        <w:rPr>
          <w:rFonts w:ascii="Arial" w:hAnsi="Arial" w:cs="Arial"/>
          <w:sz w:val="24"/>
          <w:szCs w:val="24"/>
          <w:lang w:val="es-ES"/>
        </w:rPr>
        <w:t>“Distribuidora de Gas Cuyana S.A.</w:t>
      </w:r>
      <w:r>
        <w:rPr>
          <w:rStyle w:val="Refdenotaalfinal"/>
          <w:rFonts w:ascii="Arial" w:hAnsi="Arial" w:cs="Arial"/>
          <w:sz w:val="24"/>
          <w:szCs w:val="24"/>
          <w:lang w:val="es-ES"/>
        </w:rPr>
        <w:endnoteReference w:id="18"/>
      </w:r>
      <w:r w:rsidRPr="00B50BBA">
        <w:rPr>
          <w:rFonts w:ascii="Arial" w:hAnsi="Arial" w:cs="Arial"/>
          <w:sz w:val="24"/>
          <w:szCs w:val="24"/>
          <w:lang w:val="es-ES"/>
        </w:rPr>
        <w:t>, la Corte declaró inadmisible el recurso extraordinario federal por aplicación de la fórmula del art. 280 CPCCN, dejando de tal modo firme lo resuelto en la instancia previa, donde la Cámara Federal de Apelaciones de Mendoza declaró la inaplicabilidad del art. 39 de la ley 24.073, del artículo 4º de la ley 25.561, del artículo 5º del decreto PEN 214/02 y de toda otra norma que obstaculizara el empleo del mecanismo de ajuste por inflación previsto en el art. VI y en los arts. 58, 61, 83, 84 y 89 de la ley de IG y modificatorias (que justamente contemplan los ajustes por actualizaciones)</w:t>
      </w:r>
      <w:r w:rsidR="00C60CDA">
        <w:rPr>
          <w:rFonts w:ascii="Arial" w:hAnsi="Arial" w:cs="Arial"/>
          <w:sz w:val="24"/>
          <w:szCs w:val="24"/>
          <w:lang w:val="es-ES"/>
        </w:rPr>
        <w:t>.</w:t>
      </w:r>
    </w:p>
    <w:p w14:paraId="02E427D8" w14:textId="77777777" w:rsidR="00C60CDA" w:rsidRDefault="00C60CDA" w:rsidP="00C43B94">
      <w:pPr>
        <w:jc w:val="both"/>
        <w:rPr>
          <w:rFonts w:ascii="Arial" w:hAnsi="Arial" w:cs="Arial"/>
          <w:sz w:val="24"/>
          <w:szCs w:val="24"/>
          <w:lang w:val="es-ES"/>
        </w:rPr>
      </w:pPr>
    </w:p>
    <w:p w14:paraId="62D93E05" w14:textId="26F80457" w:rsidR="00C43B94" w:rsidRDefault="00C60CDA" w:rsidP="00C43B94">
      <w:pPr>
        <w:jc w:val="both"/>
        <w:rPr>
          <w:rFonts w:ascii="Arial" w:hAnsi="Arial" w:cs="Arial"/>
          <w:sz w:val="24"/>
          <w:szCs w:val="24"/>
          <w:lang w:val="es-ES"/>
        </w:rPr>
      </w:pPr>
      <w:r>
        <w:rPr>
          <w:rFonts w:ascii="Arial" w:hAnsi="Arial" w:cs="Arial"/>
          <w:sz w:val="24"/>
          <w:szCs w:val="24"/>
          <w:lang w:val="es-ES"/>
        </w:rPr>
        <w:t>E</w:t>
      </w:r>
      <w:r w:rsidR="00C43B94">
        <w:rPr>
          <w:rFonts w:ascii="Arial" w:hAnsi="Arial" w:cs="Arial"/>
          <w:sz w:val="24"/>
          <w:szCs w:val="24"/>
          <w:lang w:val="es-ES"/>
        </w:rPr>
        <w:t xml:space="preserve">n igual sentido en la </w:t>
      </w:r>
      <w:r w:rsidR="00C43B94" w:rsidRPr="00B50BBA">
        <w:rPr>
          <w:rFonts w:ascii="Arial" w:hAnsi="Arial" w:cs="Arial"/>
          <w:sz w:val="24"/>
          <w:szCs w:val="24"/>
          <w:lang w:val="es-ES"/>
        </w:rPr>
        <w:t>causa Distribuidora de Gas del Centro S.A.</w:t>
      </w:r>
      <w:r w:rsidR="00C43B94">
        <w:rPr>
          <w:rFonts w:ascii="Arial" w:hAnsi="Arial" w:cs="Arial"/>
          <w:sz w:val="24"/>
          <w:szCs w:val="24"/>
          <w:lang w:val="es-ES"/>
        </w:rPr>
        <w:t>,</w:t>
      </w:r>
      <w:r w:rsidR="005E3C22">
        <w:rPr>
          <w:rFonts w:ascii="Arial" w:hAnsi="Arial" w:cs="Arial"/>
          <w:sz w:val="24"/>
          <w:szCs w:val="24"/>
          <w:lang w:val="es-ES"/>
        </w:rPr>
        <w:t xml:space="preserve"> </w:t>
      </w:r>
      <w:r w:rsidR="00C43B94">
        <w:rPr>
          <w:rFonts w:ascii="Arial" w:hAnsi="Arial" w:cs="Arial"/>
          <w:sz w:val="24"/>
          <w:szCs w:val="24"/>
          <w:lang w:val="es-ES"/>
        </w:rPr>
        <w:t xml:space="preserve">la </w:t>
      </w:r>
      <w:r w:rsidR="006722E2">
        <w:rPr>
          <w:rFonts w:ascii="Arial" w:hAnsi="Arial" w:cs="Arial"/>
          <w:sz w:val="24"/>
          <w:szCs w:val="24"/>
          <w:lang w:val="es-ES"/>
        </w:rPr>
        <w:t xml:space="preserve">CSJN </w:t>
      </w:r>
      <w:r w:rsidR="006722E2" w:rsidRPr="00B50BBA">
        <w:rPr>
          <w:rFonts w:ascii="Arial" w:hAnsi="Arial" w:cs="Arial"/>
          <w:sz w:val="24"/>
          <w:szCs w:val="24"/>
          <w:lang w:val="es-ES"/>
        </w:rPr>
        <w:t>entendió</w:t>
      </w:r>
      <w:r w:rsidR="00C43B94" w:rsidRPr="00B50BBA">
        <w:rPr>
          <w:rFonts w:ascii="Arial" w:hAnsi="Arial" w:cs="Arial"/>
          <w:sz w:val="24"/>
          <w:szCs w:val="24"/>
          <w:lang w:val="es-ES"/>
        </w:rPr>
        <w:t xml:space="preserve"> que las cuestiones planteadas eran sustancialmente análogas a las tratadas y resueltas en “Candy”; razón por la que admitió el recurso de queja deducido y confirmó la sentencia de la instancia anterior. Previamente, la Sala B de la Cámara Federal de Apelaciones de Córdoba había declarado la inconstitucionalidad del art. 39 de la ley 24.073 y normas reglamentarias, ordenando consecuentemente, recibir y/o admitir a la actora la liquidación de la ley de IG “...con la aplicación del mecanismo de ‘ajuste por inflación’ conforme al Título VI y arts. 58, 61, 83, 84 y 89 de la LIG y modificatorias...”</w:t>
      </w:r>
      <w:r w:rsidR="00C43B94">
        <w:rPr>
          <w:rStyle w:val="Refdenotaalfinal"/>
          <w:rFonts w:ascii="Arial" w:hAnsi="Arial" w:cs="Arial"/>
          <w:sz w:val="24"/>
          <w:szCs w:val="24"/>
          <w:lang w:val="es-ES"/>
        </w:rPr>
        <w:endnoteReference w:id="19"/>
      </w:r>
    </w:p>
    <w:p w14:paraId="294C403D" w14:textId="77777777" w:rsidR="00C43B94" w:rsidRPr="00B50BBA" w:rsidRDefault="00C43B94" w:rsidP="00B50BBA">
      <w:pPr>
        <w:jc w:val="both"/>
        <w:rPr>
          <w:rFonts w:ascii="Arial" w:hAnsi="Arial" w:cs="Arial"/>
          <w:sz w:val="24"/>
          <w:szCs w:val="24"/>
          <w:lang w:val="es-ES"/>
        </w:rPr>
      </w:pPr>
    </w:p>
    <w:p w14:paraId="54EFEB7A" w14:textId="1DA42709" w:rsidR="00C43B94" w:rsidRDefault="00C43B94" w:rsidP="00B50BBA">
      <w:pPr>
        <w:jc w:val="both"/>
        <w:rPr>
          <w:rFonts w:ascii="Arial" w:hAnsi="Arial" w:cs="Arial"/>
          <w:sz w:val="24"/>
          <w:szCs w:val="24"/>
          <w:lang w:val="es-ES"/>
        </w:rPr>
      </w:pPr>
      <w:r w:rsidRPr="00B50BBA">
        <w:rPr>
          <w:rFonts w:ascii="Arial" w:hAnsi="Arial" w:cs="Arial"/>
          <w:sz w:val="24"/>
          <w:szCs w:val="24"/>
          <w:lang w:val="es-ES"/>
        </w:rPr>
        <w:t xml:space="preserve">Bajo tales pautas, </w:t>
      </w:r>
      <w:r>
        <w:rPr>
          <w:rFonts w:ascii="Arial" w:hAnsi="Arial" w:cs="Arial"/>
          <w:sz w:val="24"/>
          <w:szCs w:val="24"/>
          <w:lang w:val="es-ES"/>
        </w:rPr>
        <w:t>recientemente en el fallo T</w:t>
      </w:r>
      <w:r w:rsidRPr="008E00DE">
        <w:rPr>
          <w:rFonts w:ascii="Arial" w:hAnsi="Arial" w:cs="Arial"/>
          <w:sz w:val="24"/>
          <w:szCs w:val="24"/>
          <w:lang w:val="es-ES"/>
        </w:rPr>
        <w:t>ilo Pampa S</w:t>
      </w:r>
      <w:r>
        <w:rPr>
          <w:rFonts w:ascii="Arial" w:hAnsi="Arial" w:cs="Arial"/>
          <w:sz w:val="24"/>
          <w:szCs w:val="24"/>
          <w:lang w:val="es-ES"/>
        </w:rPr>
        <w:t>.</w:t>
      </w:r>
      <w:r w:rsidRPr="008E00DE">
        <w:rPr>
          <w:rFonts w:ascii="Arial" w:hAnsi="Arial" w:cs="Arial"/>
          <w:sz w:val="24"/>
          <w:szCs w:val="24"/>
          <w:lang w:val="es-ES"/>
        </w:rPr>
        <w:t>A</w:t>
      </w:r>
      <w:r>
        <w:rPr>
          <w:rFonts w:ascii="Arial" w:hAnsi="Arial" w:cs="Arial"/>
          <w:sz w:val="24"/>
          <w:szCs w:val="24"/>
          <w:lang w:val="es-ES"/>
        </w:rPr>
        <w:t>.</w:t>
      </w:r>
      <w:r>
        <w:rPr>
          <w:rStyle w:val="Refdenotaalfinal"/>
          <w:rFonts w:ascii="Arial" w:hAnsi="Arial" w:cs="Arial"/>
          <w:sz w:val="24"/>
          <w:szCs w:val="24"/>
          <w:lang w:val="es-ES"/>
        </w:rPr>
        <w:endnoteReference w:id="20"/>
      </w:r>
      <w:r w:rsidRPr="008E00DE">
        <w:rPr>
          <w:rFonts w:ascii="Arial" w:hAnsi="Arial" w:cs="Arial"/>
          <w:sz w:val="24"/>
          <w:szCs w:val="24"/>
          <w:lang w:val="es-ES"/>
        </w:rPr>
        <w:t xml:space="preserve"> </w:t>
      </w:r>
      <w:r w:rsidRPr="00B50BBA">
        <w:rPr>
          <w:rFonts w:ascii="Arial" w:hAnsi="Arial" w:cs="Arial"/>
          <w:sz w:val="24"/>
          <w:szCs w:val="24"/>
          <w:lang w:val="es-ES"/>
        </w:rPr>
        <w:t xml:space="preserve">se </w:t>
      </w:r>
      <w:r>
        <w:rPr>
          <w:rFonts w:ascii="Arial" w:hAnsi="Arial" w:cs="Arial"/>
          <w:sz w:val="24"/>
          <w:szCs w:val="24"/>
          <w:lang w:val="es-ES"/>
        </w:rPr>
        <w:t xml:space="preserve">reafirma </w:t>
      </w:r>
      <w:r w:rsidRPr="00B50BBA">
        <w:rPr>
          <w:rFonts w:ascii="Arial" w:hAnsi="Arial" w:cs="Arial"/>
          <w:sz w:val="24"/>
          <w:szCs w:val="24"/>
          <w:lang w:val="es-ES"/>
        </w:rPr>
        <w:t xml:space="preserve">que las previsiones de la ley de IG deben ser interpretadas en forma sistémica </w:t>
      </w:r>
      <w:r>
        <w:rPr>
          <w:rFonts w:ascii="Arial" w:hAnsi="Arial" w:cs="Arial"/>
          <w:sz w:val="24"/>
          <w:szCs w:val="24"/>
          <w:lang w:val="es-ES"/>
        </w:rPr>
        <w:t>incluyendo la actualización prevista para las amortizaciones y quebrantos</w:t>
      </w:r>
      <w:r w:rsidR="006E22D4">
        <w:rPr>
          <w:rStyle w:val="Refdenotaalfinal"/>
          <w:rFonts w:ascii="Arial" w:hAnsi="Arial" w:cs="Arial"/>
          <w:sz w:val="24"/>
          <w:szCs w:val="24"/>
          <w:lang w:val="es-ES"/>
        </w:rPr>
        <w:endnoteReference w:id="21"/>
      </w:r>
      <w:r>
        <w:rPr>
          <w:rFonts w:ascii="Arial" w:hAnsi="Arial" w:cs="Arial"/>
          <w:sz w:val="24"/>
          <w:szCs w:val="24"/>
          <w:lang w:val="es-ES"/>
        </w:rPr>
        <w:t>.</w:t>
      </w:r>
    </w:p>
    <w:p w14:paraId="4C293098" w14:textId="3D7A532B" w:rsidR="00C43B94" w:rsidRDefault="00C43B94" w:rsidP="00CA60AF">
      <w:pPr>
        <w:jc w:val="both"/>
        <w:rPr>
          <w:rFonts w:ascii="Arial" w:hAnsi="Arial" w:cs="Arial"/>
          <w:sz w:val="24"/>
          <w:szCs w:val="24"/>
          <w:lang w:val="es-ES"/>
        </w:rPr>
      </w:pPr>
    </w:p>
    <w:p w14:paraId="51ADF7EB" w14:textId="013201A0"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t>5.</w:t>
      </w:r>
      <w:r>
        <w:rPr>
          <w:rFonts w:ascii="Arial" w:hAnsi="Arial" w:cs="Arial"/>
          <w:sz w:val="24"/>
          <w:szCs w:val="24"/>
          <w:lang w:val="es-ES"/>
        </w:rPr>
        <w:t>2</w:t>
      </w:r>
      <w:r w:rsidRPr="00E120B0">
        <w:rPr>
          <w:rFonts w:ascii="Arial" w:hAnsi="Arial" w:cs="Arial"/>
          <w:sz w:val="24"/>
          <w:szCs w:val="24"/>
          <w:lang w:val="es-ES"/>
        </w:rPr>
        <w:t xml:space="preserve">. </w:t>
      </w:r>
      <w:r w:rsidRPr="003E1ED3">
        <w:rPr>
          <w:rFonts w:ascii="Arial" w:hAnsi="Arial" w:cs="Arial"/>
          <w:sz w:val="24"/>
          <w:szCs w:val="24"/>
          <w:u w:val="single"/>
          <w:lang w:val="es-ES"/>
        </w:rPr>
        <w:t>La actualización de los quebrantos. Situación post-reforma de la Ley N° 27.430</w:t>
      </w:r>
    </w:p>
    <w:p w14:paraId="1A0CCD09" w14:textId="77777777" w:rsidR="00E120B0" w:rsidRPr="00E120B0" w:rsidRDefault="00E120B0" w:rsidP="00E120B0">
      <w:pPr>
        <w:jc w:val="both"/>
        <w:rPr>
          <w:rFonts w:ascii="Arial" w:hAnsi="Arial" w:cs="Arial"/>
          <w:sz w:val="24"/>
          <w:szCs w:val="24"/>
          <w:lang w:val="es-ES"/>
        </w:rPr>
      </w:pPr>
    </w:p>
    <w:p w14:paraId="7822A3DD" w14:textId="77777777"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t xml:space="preserve">En este apartado se analiza si resultan actualizables los quebrantos impositivos en los términos del artículo 25 de la LIG. </w:t>
      </w:r>
    </w:p>
    <w:p w14:paraId="63F54E11" w14:textId="77777777" w:rsidR="00E120B0" w:rsidRPr="00E120B0" w:rsidRDefault="00E120B0" w:rsidP="00E120B0">
      <w:pPr>
        <w:jc w:val="both"/>
        <w:rPr>
          <w:rFonts w:ascii="Arial" w:hAnsi="Arial" w:cs="Arial"/>
          <w:sz w:val="24"/>
          <w:szCs w:val="24"/>
          <w:lang w:val="es-ES"/>
        </w:rPr>
      </w:pPr>
    </w:p>
    <w:p w14:paraId="54C0DAE2" w14:textId="77777777"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lastRenderedPageBreak/>
        <w:t xml:space="preserve">Para mayor claridad en la exposición en este apartado utilizamos la numeración anterior a la numeración establecida en el 2020. El artículo 19 de la LIG establecía la actualización de los quebrantos de ejercicios anteriores sobre la base de la aplicación del IPIM. </w:t>
      </w:r>
    </w:p>
    <w:p w14:paraId="059A01D9" w14:textId="77777777" w:rsidR="00E120B0" w:rsidRPr="00E120B0" w:rsidRDefault="00E120B0" w:rsidP="00E120B0">
      <w:pPr>
        <w:jc w:val="both"/>
        <w:rPr>
          <w:rFonts w:ascii="Arial" w:hAnsi="Arial" w:cs="Arial"/>
          <w:sz w:val="24"/>
          <w:szCs w:val="24"/>
          <w:lang w:val="es-ES"/>
        </w:rPr>
      </w:pPr>
    </w:p>
    <w:p w14:paraId="00458AF9" w14:textId="77777777"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t xml:space="preserve">La Ley N° 27.430 modificó el artículo 89 de la LIG e introdujo el siguiente texto: </w:t>
      </w:r>
    </w:p>
    <w:p w14:paraId="06F11B39" w14:textId="77777777" w:rsidR="00E120B0" w:rsidRPr="00E120B0" w:rsidRDefault="00E120B0" w:rsidP="00E120B0">
      <w:pPr>
        <w:jc w:val="both"/>
        <w:rPr>
          <w:rFonts w:ascii="Arial" w:hAnsi="Arial" w:cs="Arial"/>
          <w:sz w:val="24"/>
          <w:szCs w:val="24"/>
          <w:lang w:val="es-ES"/>
        </w:rPr>
      </w:pPr>
    </w:p>
    <w:p w14:paraId="6AAE05FD" w14:textId="77777777"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t>ARTÍCULO 89.- Las actualizaciones previstas en esta ley se practicarán conforme lo establecido en el artículo 39 de la ley 24.073.</w:t>
      </w:r>
    </w:p>
    <w:p w14:paraId="3128B08A" w14:textId="77777777" w:rsidR="00E120B0" w:rsidRPr="00E120B0" w:rsidRDefault="00E120B0" w:rsidP="00E120B0">
      <w:pPr>
        <w:jc w:val="both"/>
        <w:rPr>
          <w:rFonts w:ascii="Arial" w:hAnsi="Arial" w:cs="Arial"/>
          <w:sz w:val="24"/>
          <w:szCs w:val="24"/>
          <w:lang w:val="es-ES"/>
        </w:rPr>
      </w:pPr>
    </w:p>
    <w:p w14:paraId="01096F6F" w14:textId="77777777"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t>Sin perjuicio de lo dispuesto en el párrafo precedente, las actualizaciones previstas en los artículos 58 a 62, 67, 75, 83 y 84, y en los artículos 4° y 5° agregados a continuación del artículo 90, respecto de las adquisiciones o inversiones efectuadas en los ejercicios fiscales que se inicien a partir del 1° de enero de 2018, se realizarán sobre la base de las variaciones porcentuales del Índice de Precios Internos al por Mayor (IPIM) que suministre el Instituto Nacional de Estadística y Censos, conforme las tablas que a esos fines elabore la Administración Federal de Ingresos Públicos.”</w:t>
      </w:r>
    </w:p>
    <w:p w14:paraId="6204ABDF" w14:textId="77777777" w:rsidR="00E120B0" w:rsidRPr="00E120B0" w:rsidRDefault="00E120B0" w:rsidP="00E120B0">
      <w:pPr>
        <w:jc w:val="both"/>
        <w:rPr>
          <w:rFonts w:ascii="Arial" w:hAnsi="Arial" w:cs="Arial"/>
          <w:sz w:val="24"/>
          <w:szCs w:val="24"/>
          <w:lang w:val="es-ES"/>
        </w:rPr>
      </w:pPr>
    </w:p>
    <w:p w14:paraId="68426CD7" w14:textId="6CF52DB7"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t>En cambio, la Ley N° 27.430 no modificó el artículo 19 respecto a la actualización de los quebrantos. La Ley N° 27.4</w:t>
      </w:r>
      <w:r w:rsidR="00D3323D">
        <w:rPr>
          <w:rFonts w:ascii="Arial" w:hAnsi="Arial" w:cs="Arial"/>
          <w:sz w:val="24"/>
          <w:szCs w:val="24"/>
          <w:lang w:val="es-ES"/>
        </w:rPr>
        <w:t>68</w:t>
      </w:r>
      <w:r w:rsidRPr="00E120B0">
        <w:rPr>
          <w:rFonts w:ascii="Arial" w:hAnsi="Arial" w:cs="Arial"/>
          <w:sz w:val="24"/>
          <w:szCs w:val="24"/>
          <w:lang w:val="es-ES"/>
        </w:rPr>
        <w:t xml:space="preserve"> sustituyó en el segundo párrafo del artículo 89 y en el título IV la expresión índice de precios internos al por mayor (“IPIM””) e “índice de precios al por mayor nivel general” por “índice de precios al consumidor nivel general” (“IPC”).</w:t>
      </w:r>
    </w:p>
    <w:p w14:paraId="57566FD0" w14:textId="77777777" w:rsidR="00E120B0" w:rsidRPr="00E120B0" w:rsidRDefault="00E120B0" w:rsidP="00E120B0">
      <w:pPr>
        <w:jc w:val="both"/>
        <w:rPr>
          <w:rFonts w:ascii="Arial" w:hAnsi="Arial" w:cs="Arial"/>
          <w:sz w:val="24"/>
          <w:szCs w:val="24"/>
          <w:lang w:val="es-ES"/>
        </w:rPr>
      </w:pPr>
    </w:p>
    <w:p w14:paraId="2A0C5422" w14:textId="4EE315C2"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t xml:space="preserve">Esta normativa ha dado a distintas posturas doctrinarias sobre la actualización de los </w:t>
      </w:r>
      <w:r w:rsidR="00AB6A5D" w:rsidRPr="00E120B0">
        <w:rPr>
          <w:rFonts w:ascii="Arial" w:hAnsi="Arial" w:cs="Arial"/>
          <w:sz w:val="24"/>
          <w:szCs w:val="24"/>
          <w:lang w:val="es-ES"/>
        </w:rPr>
        <w:t>quebrantos</w:t>
      </w:r>
      <w:r w:rsidR="00F9159E">
        <w:rPr>
          <w:rStyle w:val="Refdenotaalfinal"/>
          <w:rFonts w:ascii="Arial" w:hAnsi="Arial" w:cs="Arial"/>
          <w:sz w:val="24"/>
          <w:szCs w:val="24"/>
          <w:lang w:val="es-ES"/>
        </w:rPr>
        <w:endnoteReference w:id="22"/>
      </w:r>
      <w:r w:rsidR="00AB6A5D" w:rsidRPr="00E120B0">
        <w:rPr>
          <w:rFonts w:ascii="Arial" w:hAnsi="Arial" w:cs="Arial"/>
          <w:sz w:val="24"/>
          <w:szCs w:val="24"/>
          <w:lang w:val="es-ES"/>
        </w:rPr>
        <w:t>:</w:t>
      </w:r>
      <w:r w:rsidRPr="00E120B0">
        <w:rPr>
          <w:rFonts w:ascii="Arial" w:hAnsi="Arial" w:cs="Arial"/>
          <w:sz w:val="24"/>
          <w:szCs w:val="24"/>
          <w:lang w:val="es-ES"/>
        </w:rPr>
        <w:t xml:space="preserve"> a) nunca estuvo restringida la actualización de los quebrantos por la Ley N° 24.073, b) los quebrantos son actualizables en virtud de la Ley N° 27.430. Dentro de esta segunda alternativa i) son actualizables todos los quebrantos no prescriptos desde la vigencia de esa norma, o ii) son actualizables los quebrantos que se generen a partir de la fecha de entrada en vigencia de la mencionada norma (período iniciado a partir del 01/01/2018), y c) no está admitida la actualización de los quebrantos ya que el primer párrafo del artículo 89 establece que como norma general que las actualizaciones previstas en la LIG se practicarán conforme lo establecido en el artículo 39 de la Ley N° 24.073.</w:t>
      </w:r>
    </w:p>
    <w:p w14:paraId="36046076" w14:textId="77777777" w:rsidR="00E120B0" w:rsidRPr="00E120B0" w:rsidRDefault="00E120B0" w:rsidP="00E120B0">
      <w:pPr>
        <w:jc w:val="both"/>
        <w:rPr>
          <w:rFonts w:ascii="Arial" w:hAnsi="Arial" w:cs="Arial"/>
          <w:sz w:val="24"/>
          <w:szCs w:val="24"/>
          <w:lang w:val="es-ES"/>
        </w:rPr>
      </w:pPr>
    </w:p>
    <w:p w14:paraId="60F56CFA" w14:textId="77777777"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t>En el ABC – Consultas Frecuentes – se le consultó al Fisco si ¿resultan actualizables los quebrantos impositivos?</w:t>
      </w:r>
    </w:p>
    <w:p w14:paraId="4262920E" w14:textId="77777777" w:rsidR="00E120B0" w:rsidRPr="00E120B0" w:rsidRDefault="00E120B0" w:rsidP="00E120B0">
      <w:pPr>
        <w:jc w:val="both"/>
        <w:rPr>
          <w:rFonts w:ascii="Arial" w:hAnsi="Arial" w:cs="Arial"/>
          <w:sz w:val="24"/>
          <w:szCs w:val="24"/>
          <w:lang w:val="es-ES"/>
        </w:rPr>
      </w:pPr>
    </w:p>
    <w:p w14:paraId="5A89F7C1" w14:textId="0EF0836B" w:rsidR="00E120B0" w:rsidRPr="00E120B0" w:rsidRDefault="008512A2" w:rsidP="00E120B0">
      <w:pPr>
        <w:jc w:val="both"/>
        <w:rPr>
          <w:rFonts w:ascii="Arial" w:hAnsi="Arial" w:cs="Arial"/>
          <w:sz w:val="24"/>
          <w:szCs w:val="24"/>
          <w:lang w:val="es-ES"/>
        </w:rPr>
      </w:pPr>
      <w:r>
        <w:rPr>
          <w:rFonts w:ascii="Arial" w:hAnsi="Arial" w:cs="Arial"/>
          <w:sz w:val="24"/>
          <w:szCs w:val="24"/>
          <w:lang w:val="es-ES"/>
        </w:rPr>
        <w:t>Respuesta: “</w:t>
      </w:r>
      <w:r w:rsidR="00E120B0" w:rsidRPr="00E120B0">
        <w:rPr>
          <w:rFonts w:ascii="Arial" w:hAnsi="Arial" w:cs="Arial"/>
          <w:sz w:val="24"/>
          <w:szCs w:val="24"/>
          <w:lang w:val="es-ES"/>
        </w:rPr>
        <w:t>El primer párrafo del artículo 93 de la Ley de Ganancias dispone que las actualizaciones previstas en la ley se practicarán conforme lo establecido en el artículo 39 de la ley 24.073.</w:t>
      </w:r>
    </w:p>
    <w:p w14:paraId="79F28AB1" w14:textId="77777777" w:rsidR="00E120B0" w:rsidRPr="00E120B0" w:rsidRDefault="00E120B0" w:rsidP="00E120B0">
      <w:pPr>
        <w:jc w:val="both"/>
        <w:rPr>
          <w:rFonts w:ascii="Arial" w:hAnsi="Arial" w:cs="Arial"/>
          <w:sz w:val="24"/>
          <w:szCs w:val="24"/>
          <w:lang w:val="es-ES"/>
        </w:rPr>
      </w:pPr>
    </w:p>
    <w:p w14:paraId="68BF917F" w14:textId="77777777"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t>A su vez, el segundo párrafo de dicho artículo establece la actualización sobre la base de las variaciones porcentuales del índice de precios al consumidor nivel general (IPC), que resulta aplicable a los costos y deducciones allí aludidos, respecto de adquisiciones e inversiones efectuadas en ejercicios fiscales que se inicien a partir del 1 de enero de 2018, y a los bienes que hayan sido revaluados en los términos del Capítulo I del Título X de la Ley N° 27.430.</w:t>
      </w:r>
    </w:p>
    <w:p w14:paraId="183DB63E" w14:textId="77777777" w:rsidR="00E120B0" w:rsidRPr="00E120B0" w:rsidRDefault="00E120B0" w:rsidP="00E120B0">
      <w:pPr>
        <w:jc w:val="both"/>
        <w:rPr>
          <w:rFonts w:ascii="Arial" w:hAnsi="Arial" w:cs="Arial"/>
          <w:sz w:val="24"/>
          <w:szCs w:val="24"/>
          <w:lang w:val="es-ES"/>
        </w:rPr>
      </w:pPr>
    </w:p>
    <w:p w14:paraId="12851ABA" w14:textId="43482138" w:rsidR="00E120B0" w:rsidRPr="00E120B0" w:rsidRDefault="00E120B0" w:rsidP="00E120B0">
      <w:pPr>
        <w:jc w:val="both"/>
        <w:rPr>
          <w:rFonts w:ascii="Arial" w:hAnsi="Arial" w:cs="Arial"/>
          <w:sz w:val="24"/>
          <w:szCs w:val="24"/>
          <w:lang w:val="es-ES"/>
        </w:rPr>
      </w:pPr>
      <w:r w:rsidRPr="00E120B0">
        <w:rPr>
          <w:rFonts w:ascii="Arial" w:hAnsi="Arial" w:cs="Arial"/>
          <w:sz w:val="24"/>
          <w:szCs w:val="24"/>
          <w:lang w:val="es-ES"/>
        </w:rPr>
        <w:t>En virtud de lo expuesto, para el caso de los quebrantos impositivos resulta de aplicación el mecanismo de actualización dispuesto en el primer párrafo del artículo 93 de la LIG</w:t>
      </w:r>
      <w:r w:rsidR="008512A2">
        <w:rPr>
          <w:rFonts w:ascii="Arial" w:hAnsi="Arial" w:cs="Arial"/>
          <w:sz w:val="24"/>
          <w:szCs w:val="24"/>
          <w:lang w:val="es-ES"/>
        </w:rPr>
        <w:t>”</w:t>
      </w:r>
      <w:r w:rsidRPr="00E120B0">
        <w:rPr>
          <w:rFonts w:ascii="Arial" w:hAnsi="Arial" w:cs="Arial"/>
          <w:sz w:val="24"/>
          <w:szCs w:val="24"/>
          <w:lang w:val="es-ES"/>
        </w:rPr>
        <w:t>.</w:t>
      </w:r>
    </w:p>
    <w:p w14:paraId="175F1FE0" w14:textId="77777777" w:rsidR="00E120B0" w:rsidRPr="00E120B0" w:rsidRDefault="00E120B0" w:rsidP="00E120B0">
      <w:pPr>
        <w:jc w:val="both"/>
        <w:rPr>
          <w:rFonts w:ascii="Arial" w:hAnsi="Arial" w:cs="Arial"/>
          <w:sz w:val="24"/>
          <w:szCs w:val="24"/>
          <w:lang w:val="es-ES"/>
        </w:rPr>
      </w:pPr>
    </w:p>
    <w:p w14:paraId="683556D0" w14:textId="12A4F724" w:rsidR="00547117" w:rsidRDefault="00E120B0" w:rsidP="00E120B0">
      <w:pPr>
        <w:jc w:val="both"/>
        <w:rPr>
          <w:rFonts w:ascii="Arial" w:hAnsi="Arial" w:cs="Arial"/>
          <w:sz w:val="24"/>
          <w:szCs w:val="24"/>
          <w:lang w:val="es-ES"/>
        </w:rPr>
      </w:pPr>
      <w:r>
        <w:rPr>
          <w:rFonts w:ascii="Arial" w:hAnsi="Arial" w:cs="Arial"/>
          <w:sz w:val="24"/>
          <w:szCs w:val="24"/>
          <w:lang w:val="es-ES"/>
        </w:rPr>
        <w:t>El analisis del fisco, entendemos que es parcial</w:t>
      </w:r>
      <w:r w:rsidRPr="00E120B0">
        <w:rPr>
          <w:rFonts w:ascii="Arial" w:hAnsi="Arial" w:cs="Arial"/>
          <w:sz w:val="24"/>
          <w:szCs w:val="24"/>
          <w:lang w:val="es-ES"/>
        </w:rPr>
        <w:t xml:space="preserve"> y debería también tenerse en cuenta en el análisis el art.131 donde establece la compensación actualizada de los quebrantos de fuente argentina contra los quebrantos de fuente extranjera, en los siguientes términos: “Si de la referida compensación o después de la deducción, previstas en los párrafos anteriores, surgiera una ganancia neta, se imputarán contra ella las pérdidas de fuente argentina —en su caso, debidamente actualizadas— que resulten deducibles de acuerdo con el noveno párrafo del citado artículo 25, cuya imputación a la ganancia neta de fuente argentina del mismo año fiscal no hubiese resultado posible”.</w:t>
      </w:r>
      <w:r w:rsidR="00984468">
        <w:rPr>
          <w:rFonts w:ascii="Arial" w:hAnsi="Arial" w:cs="Arial"/>
          <w:sz w:val="24"/>
          <w:szCs w:val="24"/>
          <w:lang w:val="es-ES"/>
        </w:rPr>
        <w:t xml:space="preserve"> </w:t>
      </w:r>
      <w:r w:rsidR="00984468" w:rsidRPr="00984468">
        <w:rPr>
          <w:rFonts w:ascii="Arial" w:hAnsi="Arial" w:cs="Arial"/>
          <w:sz w:val="24"/>
          <w:szCs w:val="24"/>
          <w:lang w:val="es-ES"/>
        </w:rPr>
        <w:t xml:space="preserve">Articulo cuya vigencia tiene efectos para el año 2018 o ejercicios iniciados a partir del 01.01.2018. </w:t>
      </w:r>
      <w:r w:rsidRPr="00E120B0">
        <w:rPr>
          <w:rFonts w:ascii="Arial" w:hAnsi="Arial" w:cs="Arial"/>
          <w:sz w:val="24"/>
          <w:szCs w:val="24"/>
          <w:lang w:val="es-ES"/>
        </w:rPr>
        <w:t xml:space="preserve"> Sería </w:t>
      </w:r>
      <w:r w:rsidR="00AB6A5D">
        <w:rPr>
          <w:rFonts w:ascii="Arial" w:hAnsi="Arial" w:cs="Arial"/>
          <w:sz w:val="24"/>
          <w:szCs w:val="24"/>
          <w:lang w:val="es-ES"/>
        </w:rPr>
        <w:t xml:space="preserve">alentador </w:t>
      </w:r>
      <w:r w:rsidR="00AB6A5D" w:rsidRPr="00E120B0">
        <w:rPr>
          <w:rFonts w:ascii="Arial" w:hAnsi="Arial" w:cs="Arial"/>
          <w:sz w:val="24"/>
          <w:szCs w:val="24"/>
          <w:lang w:val="es-ES"/>
        </w:rPr>
        <w:t>mayor</w:t>
      </w:r>
      <w:r w:rsidRPr="00E120B0">
        <w:rPr>
          <w:rFonts w:ascii="Arial" w:hAnsi="Arial" w:cs="Arial"/>
          <w:sz w:val="24"/>
          <w:szCs w:val="24"/>
          <w:lang w:val="es-ES"/>
        </w:rPr>
        <w:t xml:space="preserve"> claridad sobre este punto</w:t>
      </w:r>
      <w:r w:rsidR="00547117">
        <w:rPr>
          <w:rFonts w:ascii="Arial" w:hAnsi="Arial" w:cs="Arial"/>
          <w:sz w:val="24"/>
          <w:szCs w:val="24"/>
          <w:lang w:val="es-ES"/>
        </w:rPr>
        <w:t>, de parte del fisco</w:t>
      </w:r>
      <w:r w:rsidRPr="00E120B0">
        <w:rPr>
          <w:rFonts w:ascii="Arial" w:hAnsi="Arial" w:cs="Arial"/>
          <w:sz w:val="24"/>
          <w:szCs w:val="24"/>
          <w:lang w:val="es-ES"/>
        </w:rPr>
        <w:t>,</w:t>
      </w:r>
      <w:r w:rsidR="00547117">
        <w:rPr>
          <w:rFonts w:ascii="Arial" w:hAnsi="Arial" w:cs="Arial"/>
          <w:sz w:val="24"/>
          <w:szCs w:val="24"/>
          <w:lang w:val="es-ES"/>
        </w:rPr>
        <w:t xml:space="preserve"> </w:t>
      </w:r>
      <w:r w:rsidRPr="00E120B0">
        <w:rPr>
          <w:rFonts w:ascii="Arial" w:hAnsi="Arial" w:cs="Arial"/>
          <w:sz w:val="24"/>
          <w:szCs w:val="24"/>
          <w:lang w:val="es-ES"/>
        </w:rPr>
        <w:t>ya que el tema resulta opinable con argumentos en ambos sentidos teniendo en cuenta los fallos citados que interpretaron el ajuste por inflación como un mecanismo integral de la LIG que involucra el ajuste de los quebrantos.</w:t>
      </w:r>
    </w:p>
    <w:p w14:paraId="63EDE1C5" w14:textId="77777777" w:rsidR="00547117" w:rsidRDefault="00547117" w:rsidP="00E120B0">
      <w:pPr>
        <w:jc w:val="both"/>
        <w:rPr>
          <w:rFonts w:ascii="Arial" w:hAnsi="Arial" w:cs="Arial"/>
          <w:sz w:val="24"/>
          <w:szCs w:val="24"/>
          <w:lang w:val="es-ES"/>
        </w:rPr>
      </w:pPr>
    </w:p>
    <w:p w14:paraId="375680BC" w14:textId="4EA98F9B" w:rsidR="00E120B0" w:rsidRPr="00E120B0" w:rsidRDefault="00547117" w:rsidP="00E120B0">
      <w:pPr>
        <w:jc w:val="both"/>
        <w:rPr>
          <w:rFonts w:ascii="Arial" w:hAnsi="Arial" w:cs="Arial"/>
          <w:sz w:val="24"/>
          <w:szCs w:val="24"/>
          <w:lang w:val="es-ES"/>
        </w:rPr>
      </w:pPr>
      <w:r>
        <w:rPr>
          <w:rFonts w:ascii="Arial" w:hAnsi="Arial" w:cs="Arial"/>
          <w:sz w:val="24"/>
          <w:szCs w:val="24"/>
          <w:lang w:val="es-ES"/>
        </w:rPr>
        <w:t>Entendemos c</w:t>
      </w:r>
      <w:r w:rsidR="00E120B0" w:rsidRPr="00E120B0">
        <w:rPr>
          <w:rFonts w:ascii="Arial" w:hAnsi="Arial" w:cs="Arial"/>
          <w:sz w:val="24"/>
          <w:szCs w:val="24"/>
          <w:lang w:val="es-ES"/>
        </w:rPr>
        <w:t xml:space="preserve">onveniente incluir normas más precisas sobre este punto </w:t>
      </w:r>
      <w:r>
        <w:rPr>
          <w:rFonts w:ascii="Arial" w:hAnsi="Arial" w:cs="Arial"/>
          <w:sz w:val="24"/>
          <w:szCs w:val="24"/>
          <w:lang w:val="es-ES"/>
        </w:rPr>
        <w:t xml:space="preserve">admitiendo el ajuste por inflación de los quebrantos, </w:t>
      </w:r>
      <w:r w:rsidR="00E120B0" w:rsidRPr="00E120B0">
        <w:rPr>
          <w:rFonts w:ascii="Arial" w:hAnsi="Arial" w:cs="Arial"/>
          <w:sz w:val="24"/>
          <w:szCs w:val="24"/>
          <w:lang w:val="es-ES"/>
        </w:rPr>
        <w:t xml:space="preserve">como la legislación de Chile y Uruguay </w:t>
      </w:r>
      <w:r w:rsidR="008C6317">
        <w:rPr>
          <w:rStyle w:val="Refdenotaalfinal"/>
          <w:rFonts w:ascii="Arial" w:hAnsi="Arial" w:cs="Arial"/>
          <w:sz w:val="24"/>
          <w:szCs w:val="24"/>
          <w:lang w:val="es-ES"/>
        </w:rPr>
        <w:endnoteReference w:id="23"/>
      </w:r>
      <w:r w:rsidR="00E120B0" w:rsidRPr="00E120B0">
        <w:rPr>
          <w:rFonts w:ascii="Arial" w:hAnsi="Arial" w:cs="Arial"/>
          <w:sz w:val="24"/>
          <w:szCs w:val="24"/>
          <w:lang w:val="es-ES"/>
        </w:rPr>
        <w:t>que tienen un contexto</w:t>
      </w:r>
      <w:r>
        <w:rPr>
          <w:rFonts w:ascii="Arial" w:hAnsi="Arial" w:cs="Arial"/>
          <w:sz w:val="24"/>
          <w:szCs w:val="24"/>
          <w:lang w:val="es-ES"/>
        </w:rPr>
        <w:t xml:space="preserve"> por cierto</w:t>
      </w:r>
      <w:r w:rsidR="00E120B0" w:rsidRPr="00E120B0">
        <w:rPr>
          <w:rFonts w:ascii="Arial" w:hAnsi="Arial" w:cs="Arial"/>
          <w:sz w:val="24"/>
          <w:szCs w:val="24"/>
          <w:lang w:val="es-ES"/>
        </w:rPr>
        <w:t xml:space="preserve"> distinto</w:t>
      </w:r>
      <w:r>
        <w:rPr>
          <w:rFonts w:ascii="Arial" w:hAnsi="Arial" w:cs="Arial"/>
          <w:sz w:val="24"/>
          <w:szCs w:val="24"/>
          <w:lang w:val="es-ES"/>
        </w:rPr>
        <w:t xml:space="preserve"> en los niveles inflacionarios</w:t>
      </w:r>
      <w:r w:rsidR="00E120B0" w:rsidRPr="00E120B0">
        <w:rPr>
          <w:rFonts w:ascii="Arial" w:hAnsi="Arial" w:cs="Arial"/>
          <w:sz w:val="24"/>
          <w:szCs w:val="24"/>
          <w:lang w:val="es-ES"/>
        </w:rPr>
        <w:t xml:space="preserve">. </w:t>
      </w:r>
    </w:p>
    <w:p w14:paraId="0C957428" w14:textId="77777777" w:rsidR="00E120B0" w:rsidRPr="00E120B0" w:rsidRDefault="00E120B0" w:rsidP="00E120B0">
      <w:pPr>
        <w:jc w:val="both"/>
        <w:rPr>
          <w:rFonts w:ascii="Arial" w:hAnsi="Arial" w:cs="Arial"/>
          <w:sz w:val="24"/>
          <w:szCs w:val="24"/>
          <w:lang w:val="es-ES"/>
        </w:rPr>
      </w:pPr>
    </w:p>
    <w:p w14:paraId="4B9DA025" w14:textId="33B8219A" w:rsidR="00547117" w:rsidRDefault="00E120B0" w:rsidP="00E120B0">
      <w:pPr>
        <w:jc w:val="both"/>
        <w:rPr>
          <w:rFonts w:ascii="Arial" w:hAnsi="Arial" w:cs="Arial"/>
          <w:sz w:val="24"/>
          <w:szCs w:val="24"/>
          <w:lang w:val="es-ES"/>
        </w:rPr>
      </w:pPr>
      <w:r w:rsidRPr="00E120B0">
        <w:rPr>
          <w:rFonts w:ascii="Arial" w:hAnsi="Arial" w:cs="Arial"/>
          <w:sz w:val="24"/>
          <w:szCs w:val="24"/>
          <w:lang w:val="es-ES"/>
        </w:rPr>
        <w:t xml:space="preserve">Asimismo, hay </w:t>
      </w:r>
      <w:r w:rsidR="00984468">
        <w:rPr>
          <w:rFonts w:ascii="Arial" w:hAnsi="Arial" w:cs="Arial"/>
          <w:sz w:val="24"/>
          <w:szCs w:val="24"/>
          <w:lang w:val="es-ES"/>
        </w:rPr>
        <w:t xml:space="preserve">aspectos cuestionables </w:t>
      </w:r>
      <w:r w:rsidRPr="00E120B0">
        <w:rPr>
          <w:rFonts w:ascii="Arial" w:hAnsi="Arial" w:cs="Arial"/>
          <w:sz w:val="24"/>
          <w:szCs w:val="24"/>
          <w:lang w:val="es-ES"/>
        </w:rPr>
        <w:t xml:space="preserve">que hacen a la determinación del quebranto nominal, </w:t>
      </w:r>
      <w:r w:rsidR="00984468">
        <w:rPr>
          <w:rFonts w:ascii="Arial" w:hAnsi="Arial" w:cs="Arial"/>
          <w:sz w:val="24"/>
          <w:szCs w:val="24"/>
          <w:lang w:val="es-ES"/>
        </w:rPr>
        <w:t xml:space="preserve">y en tal sentido </w:t>
      </w:r>
      <w:r w:rsidR="00547117">
        <w:rPr>
          <w:rFonts w:ascii="Arial" w:hAnsi="Arial" w:cs="Arial"/>
          <w:sz w:val="24"/>
          <w:szCs w:val="24"/>
          <w:lang w:val="es-ES"/>
        </w:rPr>
        <w:t xml:space="preserve">modificar </w:t>
      </w:r>
      <w:r w:rsidRPr="00E120B0">
        <w:rPr>
          <w:rFonts w:ascii="Arial" w:hAnsi="Arial" w:cs="Arial"/>
          <w:sz w:val="24"/>
          <w:szCs w:val="24"/>
          <w:lang w:val="es-ES"/>
        </w:rPr>
        <w:t xml:space="preserve">conceptos que limitan la medida de dicho quebranto, por ejemplo, el límite para la deducción de amortización de automóviles de costo hasta $ 20.000.- y gastos de mantenimiento de automóviles hasta $ 7.200 anuales, congelados desde hace décadas. </w:t>
      </w:r>
    </w:p>
    <w:p w14:paraId="4A19FEA8" w14:textId="77777777" w:rsidR="00547117" w:rsidRDefault="00547117" w:rsidP="00E120B0">
      <w:pPr>
        <w:jc w:val="both"/>
        <w:rPr>
          <w:rFonts w:ascii="Arial" w:hAnsi="Arial" w:cs="Arial"/>
          <w:sz w:val="24"/>
          <w:szCs w:val="24"/>
          <w:lang w:val="es-ES"/>
        </w:rPr>
      </w:pPr>
    </w:p>
    <w:p w14:paraId="18D57CBA" w14:textId="60EACFD7" w:rsidR="006E22D4" w:rsidRDefault="00E120B0" w:rsidP="00E120B0">
      <w:pPr>
        <w:jc w:val="both"/>
        <w:rPr>
          <w:rFonts w:ascii="Arial" w:hAnsi="Arial" w:cs="Arial"/>
          <w:sz w:val="24"/>
          <w:szCs w:val="24"/>
          <w:lang w:val="es-ES"/>
        </w:rPr>
      </w:pPr>
      <w:r w:rsidRPr="00E120B0">
        <w:rPr>
          <w:rFonts w:ascii="Arial" w:hAnsi="Arial" w:cs="Arial"/>
          <w:sz w:val="24"/>
          <w:szCs w:val="24"/>
          <w:lang w:val="es-ES"/>
        </w:rPr>
        <w:t xml:space="preserve">Importes </w:t>
      </w:r>
      <w:r w:rsidR="00547117">
        <w:rPr>
          <w:rFonts w:ascii="Arial" w:hAnsi="Arial" w:cs="Arial"/>
          <w:sz w:val="24"/>
          <w:szCs w:val="24"/>
          <w:lang w:val="es-ES"/>
        </w:rPr>
        <w:t xml:space="preserve">o parámetros </w:t>
      </w:r>
      <w:r w:rsidR="009432D9" w:rsidRPr="00E120B0">
        <w:rPr>
          <w:rFonts w:ascii="Arial" w:hAnsi="Arial" w:cs="Arial"/>
          <w:sz w:val="24"/>
          <w:szCs w:val="24"/>
          <w:lang w:val="es-ES"/>
        </w:rPr>
        <w:t>que,</w:t>
      </w:r>
      <w:r w:rsidRPr="00E120B0">
        <w:rPr>
          <w:rFonts w:ascii="Arial" w:hAnsi="Arial" w:cs="Arial"/>
          <w:sz w:val="24"/>
          <w:szCs w:val="24"/>
          <w:lang w:val="es-ES"/>
        </w:rPr>
        <w:t xml:space="preserve"> en una futura reforma fiscal, o a consecuencia de un planteo judicial les reconozca su actualización </w:t>
      </w:r>
      <w:r w:rsidR="00547117">
        <w:rPr>
          <w:rFonts w:ascii="Arial" w:hAnsi="Arial" w:cs="Arial"/>
          <w:sz w:val="24"/>
          <w:szCs w:val="24"/>
          <w:lang w:val="es-ES"/>
        </w:rPr>
        <w:t xml:space="preserve">permanente </w:t>
      </w:r>
      <w:r w:rsidRPr="00E120B0">
        <w:rPr>
          <w:rFonts w:ascii="Arial" w:hAnsi="Arial" w:cs="Arial"/>
          <w:sz w:val="24"/>
          <w:szCs w:val="24"/>
          <w:lang w:val="es-ES"/>
        </w:rPr>
        <w:t>como parte de un proceso de ajuste por inflación integral</w:t>
      </w:r>
      <w:r w:rsidR="00547117">
        <w:rPr>
          <w:rFonts w:ascii="Arial" w:hAnsi="Arial" w:cs="Arial"/>
          <w:sz w:val="24"/>
          <w:szCs w:val="24"/>
          <w:lang w:val="es-ES"/>
        </w:rPr>
        <w:t>, que evite escenarios d</w:t>
      </w:r>
      <w:r w:rsidRPr="00E120B0">
        <w:rPr>
          <w:rFonts w:ascii="Arial" w:hAnsi="Arial" w:cs="Arial"/>
          <w:sz w:val="24"/>
          <w:szCs w:val="24"/>
          <w:lang w:val="es-ES"/>
        </w:rPr>
        <w:t>e pago confiscatorio</w:t>
      </w:r>
      <w:r w:rsidR="00547117">
        <w:rPr>
          <w:rFonts w:ascii="Arial" w:hAnsi="Arial" w:cs="Arial"/>
          <w:sz w:val="24"/>
          <w:szCs w:val="24"/>
          <w:lang w:val="es-ES"/>
        </w:rPr>
        <w:t xml:space="preserve"> o en su caso, que preserve el principio de igualdad en los impuestos</w:t>
      </w:r>
      <w:r w:rsidRPr="00E120B0">
        <w:rPr>
          <w:rFonts w:ascii="Arial" w:hAnsi="Arial" w:cs="Arial"/>
          <w:sz w:val="24"/>
          <w:szCs w:val="24"/>
          <w:lang w:val="es-ES"/>
        </w:rPr>
        <w:t>. En concordancia con la doctrina de los fallos antes citados.</w:t>
      </w:r>
    </w:p>
    <w:p w14:paraId="01361DDE" w14:textId="77777777" w:rsidR="00E120B0" w:rsidRDefault="00E120B0" w:rsidP="00F25CD9">
      <w:pPr>
        <w:jc w:val="both"/>
        <w:rPr>
          <w:rFonts w:ascii="Arial" w:hAnsi="Arial" w:cs="Arial"/>
          <w:sz w:val="24"/>
          <w:szCs w:val="24"/>
          <w:lang w:val="es-ES"/>
        </w:rPr>
      </w:pPr>
    </w:p>
    <w:p w14:paraId="5FC7AFA1" w14:textId="7A19BEB1" w:rsidR="00C43B94" w:rsidRDefault="00C43B94" w:rsidP="00F25CD9">
      <w:pPr>
        <w:jc w:val="both"/>
        <w:rPr>
          <w:rFonts w:ascii="Arial" w:hAnsi="Arial" w:cs="Arial"/>
          <w:sz w:val="24"/>
          <w:szCs w:val="24"/>
          <w:lang w:val="es-ES"/>
        </w:rPr>
      </w:pPr>
      <w:r>
        <w:rPr>
          <w:rFonts w:ascii="Arial" w:hAnsi="Arial" w:cs="Arial"/>
          <w:sz w:val="24"/>
          <w:szCs w:val="24"/>
          <w:lang w:val="es-ES"/>
        </w:rPr>
        <w:t>5.</w:t>
      </w:r>
      <w:r w:rsidR="00E120B0">
        <w:rPr>
          <w:rFonts w:ascii="Arial" w:hAnsi="Arial" w:cs="Arial"/>
          <w:sz w:val="24"/>
          <w:szCs w:val="24"/>
          <w:lang w:val="es-ES"/>
        </w:rPr>
        <w:t>3</w:t>
      </w:r>
      <w:r>
        <w:rPr>
          <w:rFonts w:ascii="Arial" w:hAnsi="Arial" w:cs="Arial"/>
          <w:sz w:val="24"/>
          <w:szCs w:val="24"/>
          <w:lang w:val="es-ES"/>
        </w:rPr>
        <w:t xml:space="preserve">. </w:t>
      </w:r>
      <w:r w:rsidRPr="00F650AF">
        <w:rPr>
          <w:rFonts w:ascii="Arial" w:hAnsi="Arial" w:cs="Arial"/>
          <w:sz w:val="24"/>
          <w:szCs w:val="24"/>
          <w:u w:val="single"/>
          <w:lang w:val="es-ES"/>
        </w:rPr>
        <w:t>El quebranto derivado del ajuste por inflación. Situación post-reforma de la Ley N° 27.430</w:t>
      </w:r>
    </w:p>
    <w:p w14:paraId="0AA98B88" w14:textId="77777777" w:rsidR="00C43B94" w:rsidRDefault="00C43B94" w:rsidP="00F25CD9">
      <w:pPr>
        <w:jc w:val="both"/>
        <w:rPr>
          <w:rFonts w:ascii="Arial" w:hAnsi="Arial" w:cs="Arial"/>
          <w:sz w:val="24"/>
          <w:szCs w:val="24"/>
          <w:lang w:val="es-ES"/>
        </w:rPr>
      </w:pPr>
    </w:p>
    <w:p w14:paraId="0EAC559E" w14:textId="2B34670A" w:rsidR="00C43B94" w:rsidRDefault="00C43B94" w:rsidP="00F25CD9">
      <w:pPr>
        <w:jc w:val="both"/>
        <w:rPr>
          <w:rFonts w:ascii="Arial" w:hAnsi="Arial" w:cs="Arial"/>
          <w:sz w:val="24"/>
          <w:szCs w:val="24"/>
          <w:lang w:val="es-ES"/>
        </w:rPr>
      </w:pPr>
      <w:r>
        <w:rPr>
          <w:rFonts w:ascii="Arial" w:hAnsi="Arial" w:cs="Arial"/>
          <w:sz w:val="24"/>
          <w:szCs w:val="24"/>
          <w:lang w:val="es-ES"/>
        </w:rPr>
        <w:t>Para reflejar la dimensión de la problemática, respecto del quebranto por el ajuste por inflación impositivo es importante conocer la normativa aplicable a partir de la reforma introducida por la Ley N° 27</w:t>
      </w:r>
      <w:r w:rsidR="009432D9">
        <w:rPr>
          <w:rFonts w:ascii="Arial" w:hAnsi="Arial" w:cs="Arial"/>
          <w:sz w:val="24"/>
          <w:szCs w:val="24"/>
          <w:lang w:val="es-ES"/>
        </w:rPr>
        <w:t>.</w:t>
      </w:r>
      <w:r>
        <w:rPr>
          <w:rFonts w:ascii="Arial" w:hAnsi="Arial" w:cs="Arial"/>
          <w:sz w:val="24"/>
          <w:szCs w:val="24"/>
          <w:lang w:val="es-ES"/>
        </w:rPr>
        <w:t>430.</w:t>
      </w:r>
    </w:p>
    <w:p w14:paraId="5F695CB5" w14:textId="77777777" w:rsidR="00C43B94" w:rsidRDefault="00C43B94" w:rsidP="00F25CD9">
      <w:pPr>
        <w:jc w:val="both"/>
        <w:rPr>
          <w:rFonts w:ascii="Arial" w:hAnsi="Arial" w:cs="Arial"/>
          <w:sz w:val="24"/>
          <w:szCs w:val="24"/>
          <w:lang w:val="es-ES"/>
        </w:rPr>
      </w:pPr>
    </w:p>
    <w:p w14:paraId="7509CBE5" w14:textId="77777777" w:rsidR="00C43B94" w:rsidRDefault="00C43B94" w:rsidP="00F25CD9">
      <w:pPr>
        <w:jc w:val="both"/>
        <w:rPr>
          <w:rFonts w:ascii="Arial" w:hAnsi="Arial" w:cs="Arial"/>
          <w:sz w:val="24"/>
          <w:szCs w:val="24"/>
          <w:lang w:val="es-ES"/>
        </w:rPr>
      </w:pPr>
      <w:r>
        <w:rPr>
          <w:rFonts w:ascii="Arial" w:hAnsi="Arial" w:cs="Arial"/>
          <w:sz w:val="24"/>
          <w:szCs w:val="24"/>
          <w:lang w:val="es-ES"/>
        </w:rPr>
        <w:t>Esta norma</w:t>
      </w:r>
      <w:r w:rsidRPr="00465E82">
        <w:rPr>
          <w:rFonts w:ascii="Arial" w:hAnsi="Arial" w:cs="Arial"/>
          <w:sz w:val="24"/>
          <w:szCs w:val="24"/>
          <w:lang w:val="es-ES"/>
        </w:rPr>
        <w:t xml:space="preserve"> implement</w:t>
      </w:r>
      <w:r>
        <w:rPr>
          <w:rFonts w:ascii="Arial" w:hAnsi="Arial" w:cs="Arial"/>
          <w:sz w:val="24"/>
          <w:szCs w:val="24"/>
          <w:lang w:val="es-ES"/>
        </w:rPr>
        <w:t>ó</w:t>
      </w:r>
      <w:r w:rsidRPr="00465E82">
        <w:rPr>
          <w:rFonts w:ascii="Arial" w:hAnsi="Arial" w:cs="Arial"/>
          <w:sz w:val="24"/>
          <w:szCs w:val="24"/>
          <w:lang w:val="es-ES"/>
        </w:rPr>
        <w:t xml:space="preserve"> </w:t>
      </w:r>
      <w:r>
        <w:rPr>
          <w:rFonts w:ascii="Arial" w:hAnsi="Arial" w:cs="Arial"/>
          <w:sz w:val="24"/>
          <w:szCs w:val="24"/>
          <w:lang w:val="es-ES"/>
        </w:rPr>
        <w:t>el regreso</w:t>
      </w:r>
      <w:r w:rsidRPr="00465E82">
        <w:rPr>
          <w:rFonts w:ascii="Arial" w:hAnsi="Arial" w:cs="Arial"/>
          <w:sz w:val="24"/>
          <w:szCs w:val="24"/>
          <w:lang w:val="es-ES"/>
        </w:rPr>
        <w:t xml:space="preserve"> del ajuste por inflación impositivo para los ejercicios que iniciaran a partir del 1 de enero de 2018. No obstante, se dispuso en el artículo 95 -actual 106- de la </w:t>
      </w:r>
      <w:r>
        <w:rPr>
          <w:rFonts w:ascii="Arial" w:hAnsi="Arial" w:cs="Arial"/>
          <w:sz w:val="24"/>
          <w:szCs w:val="24"/>
          <w:lang w:val="es-ES"/>
        </w:rPr>
        <w:t>LIG</w:t>
      </w:r>
      <w:r w:rsidRPr="00465E82">
        <w:rPr>
          <w:rFonts w:ascii="Arial" w:hAnsi="Arial" w:cs="Arial"/>
          <w:sz w:val="24"/>
          <w:szCs w:val="24"/>
          <w:lang w:val="es-ES"/>
        </w:rPr>
        <w:t xml:space="preserve">, que el mecanismo </w:t>
      </w:r>
      <w:r>
        <w:rPr>
          <w:rFonts w:ascii="Arial" w:hAnsi="Arial" w:cs="Arial"/>
          <w:sz w:val="24"/>
          <w:szCs w:val="24"/>
          <w:lang w:val="es-ES"/>
        </w:rPr>
        <w:t xml:space="preserve">de ajuste </w:t>
      </w:r>
      <w:r w:rsidRPr="00465E82">
        <w:rPr>
          <w:rFonts w:ascii="Arial" w:hAnsi="Arial" w:cs="Arial"/>
          <w:sz w:val="24"/>
          <w:szCs w:val="24"/>
          <w:lang w:val="es-ES"/>
        </w:rPr>
        <w:t xml:space="preserve">resultaría aplicable en el ejercicio fiscal en el cual se verificara un porcentaje de variación del índice de precios internos al por mayor (IPIM), acumulado en los 36 meses anteriores al cierre del ejercicio que se liquida, superior al 100%. Se estableció </w:t>
      </w:r>
      <w:r w:rsidRPr="00465E82">
        <w:rPr>
          <w:rFonts w:ascii="Arial" w:hAnsi="Arial" w:cs="Arial"/>
          <w:sz w:val="24"/>
          <w:szCs w:val="24"/>
          <w:lang w:val="es-ES"/>
        </w:rPr>
        <w:lastRenderedPageBreak/>
        <w:t>que para el primer ejercicio iniciado el 01/01/2018 la inflación acumulada de los 12 meses debía ser superior a 1/3 (33,33%) y en el segundo ejercicio debía ser superior a 2/3 (66,67%) en los 24 meses</w:t>
      </w:r>
      <w:r>
        <w:rPr>
          <w:rFonts w:ascii="Arial" w:hAnsi="Arial" w:cs="Arial"/>
          <w:sz w:val="24"/>
          <w:szCs w:val="24"/>
          <w:lang w:val="es-ES"/>
        </w:rPr>
        <w:t xml:space="preserve">. </w:t>
      </w:r>
    </w:p>
    <w:p w14:paraId="27B3CF7F" w14:textId="77777777" w:rsidR="00C43B94" w:rsidRDefault="00C43B94" w:rsidP="00F25CD9">
      <w:pPr>
        <w:jc w:val="both"/>
        <w:rPr>
          <w:rFonts w:ascii="Arial" w:hAnsi="Arial" w:cs="Arial"/>
          <w:sz w:val="24"/>
          <w:szCs w:val="24"/>
          <w:lang w:val="es-ES"/>
        </w:rPr>
      </w:pPr>
    </w:p>
    <w:p w14:paraId="0E072282" w14:textId="77777777" w:rsidR="00C43B94" w:rsidRDefault="00C43B94" w:rsidP="00F25CD9">
      <w:pPr>
        <w:jc w:val="both"/>
        <w:rPr>
          <w:rFonts w:ascii="Arial" w:hAnsi="Arial" w:cs="Arial"/>
          <w:sz w:val="24"/>
          <w:szCs w:val="24"/>
          <w:lang w:val="es-ES"/>
        </w:rPr>
      </w:pPr>
      <w:r w:rsidRPr="00465E82">
        <w:rPr>
          <w:rFonts w:ascii="Arial" w:hAnsi="Arial" w:cs="Arial"/>
          <w:sz w:val="24"/>
          <w:szCs w:val="24"/>
          <w:lang w:val="es-ES"/>
        </w:rPr>
        <w:t xml:space="preserve">La Ley </w:t>
      </w:r>
      <w:r>
        <w:rPr>
          <w:rFonts w:ascii="Arial" w:hAnsi="Arial" w:cs="Arial"/>
          <w:sz w:val="24"/>
          <w:szCs w:val="24"/>
          <w:lang w:val="es-ES"/>
        </w:rPr>
        <w:t xml:space="preserve">N° </w:t>
      </w:r>
      <w:r w:rsidRPr="00465E82">
        <w:rPr>
          <w:rFonts w:ascii="Arial" w:hAnsi="Arial" w:cs="Arial"/>
          <w:sz w:val="24"/>
          <w:szCs w:val="24"/>
          <w:lang w:val="es-ES"/>
        </w:rPr>
        <w:t>27.468 sustituyó el índice de precios</w:t>
      </w:r>
      <w:r>
        <w:rPr>
          <w:rFonts w:ascii="Arial" w:hAnsi="Arial" w:cs="Arial"/>
          <w:sz w:val="24"/>
          <w:szCs w:val="24"/>
          <w:lang w:val="es-ES"/>
        </w:rPr>
        <w:t xml:space="preserve"> IPIM</w:t>
      </w:r>
      <w:r w:rsidRPr="00465E82">
        <w:rPr>
          <w:rFonts w:ascii="Arial" w:hAnsi="Arial" w:cs="Arial"/>
          <w:sz w:val="24"/>
          <w:szCs w:val="24"/>
          <w:lang w:val="es-ES"/>
        </w:rPr>
        <w:t xml:space="preserve"> por el de “precios al consumidor nivel general” (IPC) y dispuso que la aplicación del régimen procede si, para los tres primeros ejercicios posteriores a la vigencia de la Ley </w:t>
      </w:r>
      <w:r>
        <w:rPr>
          <w:rFonts w:ascii="Arial" w:hAnsi="Arial" w:cs="Arial"/>
          <w:sz w:val="24"/>
          <w:szCs w:val="24"/>
          <w:lang w:val="es-ES"/>
        </w:rPr>
        <w:t xml:space="preserve">N° </w:t>
      </w:r>
      <w:r w:rsidRPr="00465E82">
        <w:rPr>
          <w:rFonts w:ascii="Arial" w:hAnsi="Arial" w:cs="Arial"/>
          <w:sz w:val="24"/>
          <w:szCs w:val="24"/>
          <w:lang w:val="es-ES"/>
        </w:rPr>
        <w:t>27.430, la inflación es superior al 55%, 30% y 15%, respectivamente. Se estableció el diferimiento del ajuste negativo o positivo, al ser imputado en tercios en los siguientes periodos fiscales</w:t>
      </w:r>
      <w:r>
        <w:rPr>
          <w:rFonts w:ascii="Arial" w:hAnsi="Arial" w:cs="Arial"/>
          <w:sz w:val="24"/>
          <w:szCs w:val="24"/>
          <w:lang w:val="es-ES"/>
        </w:rPr>
        <w:t>.</w:t>
      </w:r>
    </w:p>
    <w:p w14:paraId="609F94C2" w14:textId="77777777" w:rsidR="00C43B94" w:rsidRDefault="00C43B94" w:rsidP="00F25CD9">
      <w:pPr>
        <w:jc w:val="both"/>
        <w:rPr>
          <w:rFonts w:ascii="Arial" w:hAnsi="Arial" w:cs="Arial"/>
          <w:sz w:val="24"/>
          <w:szCs w:val="24"/>
          <w:lang w:val="es-ES"/>
        </w:rPr>
      </w:pPr>
    </w:p>
    <w:p w14:paraId="255AA44B" w14:textId="6432322B" w:rsidR="00C43B94" w:rsidRDefault="00C43B94" w:rsidP="00F25CD9">
      <w:pPr>
        <w:jc w:val="both"/>
        <w:rPr>
          <w:rFonts w:ascii="Arial" w:hAnsi="Arial" w:cs="Arial"/>
          <w:sz w:val="24"/>
          <w:szCs w:val="24"/>
          <w:lang w:val="es-ES"/>
        </w:rPr>
      </w:pPr>
      <w:r w:rsidRPr="00465E82">
        <w:rPr>
          <w:rFonts w:ascii="Arial" w:hAnsi="Arial" w:cs="Arial"/>
          <w:sz w:val="24"/>
          <w:szCs w:val="24"/>
          <w:lang w:val="es-ES"/>
        </w:rPr>
        <w:t xml:space="preserve">La </w:t>
      </w:r>
      <w:r>
        <w:rPr>
          <w:rFonts w:ascii="Arial" w:hAnsi="Arial" w:cs="Arial"/>
          <w:sz w:val="24"/>
          <w:szCs w:val="24"/>
          <w:lang w:val="es-ES"/>
        </w:rPr>
        <w:t xml:space="preserve">N° </w:t>
      </w:r>
      <w:r w:rsidRPr="00465E82">
        <w:rPr>
          <w:rFonts w:ascii="Arial" w:hAnsi="Arial" w:cs="Arial"/>
          <w:sz w:val="24"/>
          <w:szCs w:val="24"/>
          <w:lang w:val="es-ES"/>
        </w:rPr>
        <w:t>Ley 27.541 -Ley de Solidaridad Social y Reactivación Productiva- estableció que el ajuste por inflación positivo o negativo, según sea el caso,</w:t>
      </w:r>
      <w:r>
        <w:rPr>
          <w:rFonts w:ascii="Arial" w:hAnsi="Arial" w:cs="Arial"/>
          <w:sz w:val="24"/>
          <w:szCs w:val="24"/>
          <w:lang w:val="es-ES"/>
        </w:rPr>
        <w:t xml:space="preserve"> </w:t>
      </w:r>
      <w:r w:rsidRPr="00F650AF">
        <w:rPr>
          <w:rFonts w:ascii="Arial" w:hAnsi="Arial" w:cs="Arial"/>
          <w:sz w:val="24"/>
          <w:szCs w:val="24"/>
          <w:lang w:val="es-ES"/>
        </w:rPr>
        <w:t>que se deba calcular en virtud de verificarse los supuestos previstos en los dos (2) últimos párrafos del artículo 106,</w:t>
      </w:r>
      <w:r w:rsidRPr="00465E82">
        <w:rPr>
          <w:rFonts w:ascii="Arial" w:hAnsi="Arial" w:cs="Arial"/>
          <w:sz w:val="24"/>
          <w:szCs w:val="24"/>
          <w:lang w:val="es-ES"/>
        </w:rPr>
        <w:t xml:space="preserve"> correspondiente a los ejercicios primero y segundo iniciados a partir del 01/01/2019</w:t>
      </w:r>
      <w:r>
        <w:rPr>
          <w:rFonts w:ascii="Arial" w:hAnsi="Arial" w:cs="Arial"/>
          <w:sz w:val="24"/>
          <w:szCs w:val="24"/>
          <w:lang w:val="es-ES"/>
        </w:rPr>
        <w:t xml:space="preserve"> se debía</w:t>
      </w:r>
      <w:r w:rsidRPr="00465E82">
        <w:rPr>
          <w:rFonts w:ascii="Arial" w:hAnsi="Arial" w:cs="Arial"/>
          <w:sz w:val="24"/>
          <w:szCs w:val="24"/>
          <w:lang w:val="es-ES"/>
        </w:rPr>
        <w:t xml:space="preserve"> </w:t>
      </w:r>
      <w:r>
        <w:rPr>
          <w:rFonts w:ascii="Arial" w:hAnsi="Arial" w:cs="Arial"/>
          <w:sz w:val="24"/>
          <w:szCs w:val="24"/>
          <w:lang w:val="es-ES"/>
        </w:rPr>
        <w:t>imputar</w:t>
      </w:r>
      <w:r w:rsidRPr="00465E82">
        <w:rPr>
          <w:rFonts w:ascii="Arial" w:hAnsi="Arial" w:cs="Arial"/>
          <w:sz w:val="24"/>
          <w:szCs w:val="24"/>
          <w:lang w:val="es-ES"/>
        </w:rPr>
        <w:t xml:space="preserve"> 1/6 en dicho período fiscal y los 5/6 restantes, en partes iguales, en los 5 períodos fiscales inmediatos siguientes. Se man</w:t>
      </w:r>
      <w:r>
        <w:rPr>
          <w:rFonts w:ascii="Arial" w:hAnsi="Arial" w:cs="Arial"/>
          <w:sz w:val="24"/>
          <w:szCs w:val="24"/>
          <w:lang w:val="es-ES"/>
        </w:rPr>
        <w:t>tuvo</w:t>
      </w:r>
      <w:r w:rsidRPr="00465E82">
        <w:rPr>
          <w:rFonts w:ascii="Arial" w:hAnsi="Arial" w:cs="Arial"/>
          <w:sz w:val="24"/>
          <w:szCs w:val="24"/>
          <w:lang w:val="es-ES"/>
        </w:rPr>
        <w:t xml:space="preserve"> el cómputo de los tercios remanentes de la aplicación de la ley 27.468.</w:t>
      </w:r>
      <w:r>
        <w:rPr>
          <w:rFonts w:ascii="Arial" w:hAnsi="Arial" w:cs="Arial"/>
          <w:sz w:val="24"/>
          <w:szCs w:val="24"/>
          <w:lang w:val="es-ES"/>
        </w:rPr>
        <w:t xml:space="preserve"> En ningún caso las cuotas diferidas tienen previsto algún mecanismo de ajuste a moneda constante.</w:t>
      </w:r>
    </w:p>
    <w:p w14:paraId="215D9A74" w14:textId="77777777" w:rsidR="00C43B94" w:rsidRDefault="00C43B94" w:rsidP="00F25CD9">
      <w:pPr>
        <w:jc w:val="both"/>
        <w:rPr>
          <w:rFonts w:ascii="Arial" w:hAnsi="Arial" w:cs="Arial"/>
          <w:sz w:val="24"/>
          <w:szCs w:val="24"/>
          <w:lang w:val="es-ES"/>
        </w:rPr>
      </w:pPr>
    </w:p>
    <w:p w14:paraId="1EFB1960" w14:textId="7712CBA9" w:rsidR="00C43B94" w:rsidRDefault="00C43B94" w:rsidP="00F25CD9">
      <w:pPr>
        <w:jc w:val="both"/>
        <w:rPr>
          <w:rFonts w:ascii="Arial" w:hAnsi="Arial" w:cs="Arial"/>
          <w:sz w:val="24"/>
          <w:szCs w:val="24"/>
          <w:lang w:val="es-ES"/>
        </w:rPr>
      </w:pPr>
      <w:r>
        <w:rPr>
          <w:rFonts w:ascii="Arial" w:hAnsi="Arial" w:cs="Arial"/>
          <w:sz w:val="24"/>
          <w:szCs w:val="24"/>
          <w:lang w:val="es-ES"/>
        </w:rPr>
        <w:t xml:space="preserve">En definitiva, el quebranto </w:t>
      </w:r>
      <w:r w:rsidR="00E120B0">
        <w:rPr>
          <w:rFonts w:ascii="Arial" w:hAnsi="Arial" w:cs="Arial"/>
          <w:sz w:val="24"/>
          <w:szCs w:val="24"/>
          <w:lang w:val="es-ES"/>
        </w:rPr>
        <w:t xml:space="preserve">del ejercicio </w:t>
      </w:r>
      <w:r>
        <w:rPr>
          <w:rFonts w:ascii="Arial" w:hAnsi="Arial" w:cs="Arial"/>
          <w:sz w:val="24"/>
          <w:szCs w:val="24"/>
          <w:lang w:val="es-ES"/>
        </w:rPr>
        <w:t>originado por el ajuste por inflación se lo reconoce en forma parcial y desvalorizada en el tiempo, y solo procederá cuando result</w:t>
      </w:r>
      <w:r w:rsidR="00E120B0">
        <w:rPr>
          <w:rFonts w:ascii="Arial" w:hAnsi="Arial" w:cs="Arial"/>
          <w:sz w:val="24"/>
          <w:szCs w:val="24"/>
          <w:lang w:val="es-ES"/>
        </w:rPr>
        <w:t>e</w:t>
      </w:r>
      <w:r>
        <w:rPr>
          <w:rFonts w:ascii="Arial" w:hAnsi="Arial" w:cs="Arial"/>
          <w:sz w:val="24"/>
          <w:szCs w:val="24"/>
          <w:lang w:val="es-ES"/>
        </w:rPr>
        <w:t xml:space="preserve"> aplicable porque los niveles de inflación s</w:t>
      </w:r>
      <w:r w:rsidR="00E120B0">
        <w:rPr>
          <w:rFonts w:ascii="Arial" w:hAnsi="Arial" w:cs="Arial"/>
          <w:sz w:val="24"/>
          <w:szCs w:val="24"/>
          <w:lang w:val="es-ES"/>
        </w:rPr>
        <w:t>on</w:t>
      </w:r>
      <w:r>
        <w:rPr>
          <w:rFonts w:ascii="Arial" w:hAnsi="Arial" w:cs="Arial"/>
          <w:sz w:val="24"/>
          <w:szCs w:val="24"/>
          <w:lang w:val="es-ES"/>
        </w:rPr>
        <w:t xml:space="preserve"> superiores al 100% en tres años (economías hiperinflacionarias en términos contables). En contextos, de alta inflación, pero menor al parámetro del 100%, el potencial quebranto no es reconocido, afectando los principios de razonabilidad, equidad y no confiscatoriedad.</w:t>
      </w:r>
    </w:p>
    <w:p w14:paraId="22094B6C" w14:textId="77777777" w:rsidR="00C43B94" w:rsidRDefault="00C43B94" w:rsidP="00F25CD9">
      <w:pPr>
        <w:jc w:val="both"/>
        <w:rPr>
          <w:rFonts w:ascii="Arial" w:hAnsi="Arial" w:cs="Arial"/>
          <w:sz w:val="24"/>
          <w:szCs w:val="24"/>
          <w:lang w:val="es-ES"/>
        </w:rPr>
      </w:pPr>
    </w:p>
    <w:p w14:paraId="599F3604" w14:textId="271C06AF" w:rsidR="00C43B94" w:rsidRDefault="00C43B94" w:rsidP="00F25CD9">
      <w:pPr>
        <w:jc w:val="both"/>
        <w:rPr>
          <w:rFonts w:ascii="Arial" w:hAnsi="Arial" w:cs="Arial"/>
          <w:sz w:val="24"/>
          <w:szCs w:val="24"/>
          <w:lang w:val="es-ES"/>
        </w:rPr>
      </w:pPr>
      <w:r>
        <w:rPr>
          <w:rFonts w:ascii="Arial" w:hAnsi="Arial" w:cs="Arial"/>
          <w:sz w:val="24"/>
          <w:szCs w:val="24"/>
          <w:lang w:val="es-ES"/>
        </w:rPr>
        <w:t xml:space="preserve">En una futura reforma fiscal, el ajuste por inflación impositivo al igual que el ajuste por inflación contable, </w:t>
      </w:r>
      <w:r w:rsidRPr="00300353">
        <w:rPr>
          <w:rFonts w:ascii="Arial" w:hAnsi="Arial" w:cs="Arial"/>
          <w:sz w:val="24"/>
          <w:szCs w:val="24"/>
          <w:lang w:val="es-ES"/>
        </w:rPr>
        <w:t>reestablecido</w:t>
      </w:r>
      <w:r w:rsidRPr="00A9598E">
        <w:rPr>
          <w:rFonts w:ascii="Arial" w:hAnsi="Arial" w:cs="Arial"/>
          <w:sz w:val="24"/>
          <w:szCs w:val="24"/>
          <w:lang w:val="es-ES"/>
        </w:rPr>
        <w:t xml:space="preserve"> por la </w:t>
      </w:r>
      <w:r w:rsidRPr="003200A6">
        <w:rPr>
          <w:rFonts w:ascii="Arial" w:hAnsi="Arial" w:cs="Arial"/>
          <w:sz w:val="24"/>
          <w:szCs w:val="24"/>
          <w:lang w:val="es-ES"/>
        </w:rPr>
        <w:t xml:space="preserve">Ley Nro. 27.468 </w:t>
      </w:r>
      <w:r>
        <w:rPr>
          <w:rFonts w:ascii="Arial" w:hAnsi="Arial" w:cs="Arial"/>
          <w:sz w:val="24"/>
          <w:szCs w:val="24"/>
          <w:lang w:val="es-ES"/>
        </w:rPr>
        <w:t>para cierres a partir del 31.12.2018, deberá ser aplicado sin importar el nivel de inflación y sin diferimiento alguno para respetar el principio de capacidad contributiva. Dicha modificación, además de equitativa y razonable, puede ser un elemento a favor pues evitara la paradoja de tener derecho a gozar del ajuste por inflación impositivo -aunque imperfecto o parcial- solo si la inflación se mantiene en un alto nivel, un conflicto de intereses que debería evitarse.</w:t>
      </w:r>
    </w:p>
    <w:p w14:paraId="0EDBCE8A" w14:textId="0E99220F" w:rsidR="00C43B94" w:rsidRDefault="00C43B94" w:rsidP="00456785">
      <w:pPr>
        <w:jc w:val="both"/>
        <w:rPr>
          <w:rFonts w:ascii="Arial" w:hAnsi="Arial" w:cs="Arial"/>
          <w:sz w:val="24"/>
          <w:szCs w:val="24"/>
          <w:lang w:val="es-ES"/>
        </w:rPr>
      </w:pPr>
    </w:p>
    <w:p w14:paraId="23BC52B2" w14:textId="77777777" w:rsidR="00C43B94" w:rsidRDefault="00C43B94" w:rsidP="00456785">
      <w:pPr>
        <w:jc w:val="both"/>
        <w:rPr>
          <w:rFonts w:ascii="Arial" w:hAnsi="Arial" w:cs="Arial"/>
          <w:sz w:val="24"/>
          <w:szCs w:val="24"/>
          <w:lang w:val="es-ES"/>
        </w:rPr>
      </w:pPr>
    </w:p>
    <w:p w14:paraId="3A02EEA2" w14:textId="1F14092C" w:rsidR="00C43B94" w:rsidRDefault="00C43B94" w:rsidP="00300353">
      <w:pPr>
        <w:jc w:val="both"/>
        <w:rPr>
          <w:rFonts w:ascii="Arial" w:hAnsi="Arial" w:cs="Arial"/>
          <w:sz w:val="24"/>
          <w:szCs w:val="24"/>
          <w:lang w:val="es-ES"/>
        </w:rPr>
      </w:pPr>
      <w:r>
        <w:rPr>
          <w:rFonts w:ascii="Arial" w:hAnsi="Arial" w:cs="Arial"/>
          <w:sz w:val="24"/>
          <w:szCs w:val="24"/>
          <w:lang w:val="es-ES"/>
        </w:rPr>
        <w:t>5</w:t>
      </w:r>
      <w:r w:rsidR="003C69AF">
        <w:rPr>
          <w:rFonts w:ascii="Arial" w:hAnsi="Arial" w:cs="Arial"/>
          <w:sz w:val="24"/>
          <w:szCs w:val="24"/>
          <w:lang w:val="es-ES"/>
        </w:rPr>
        <w:t>.</w:t>
      </w:r>
      <w:r>
        <w:rPr>
          <w:rFonts w:ascii="Arial" w:hAnsi="Arial" w:cs="Arial"/>
          <w:sz w:val="24"/>
          <w:szCs w:val="24"/>
          <w:lang w:val="es-ES"/>
        </w:rPr>
        <w:t xml:space="preserve">4. </w:t>
      </w:r>
      <w:r w:rsidRPr="00F650AF">
        <w:rPr>
          <w:rFonts w:ascii="Arial" w:hAnsi="Arial" w:cs="Arial"/>
          <w:sz w:val="24"/>
          <w:szCs w:val="24"/>
          <w:u w:val="single"/>
          <w:lang w:val="es-ES"/>
        </w:rPr>
        <w:t>El quebranto derivado de préstamos financieros, potencial diferimiento</w:t>
      </w:r>
      <w:r>
        <w:rPr>
          <w:rFonts w:ascii="Arial" w:hAnsi="Arial" w:cs="Arial"/>
          <w:sz w:val="24"/>
          <w:szCs w:val="24"/>
          <w:lang w:val="es-ES"/>
        </w:rPr>
        <w:t>.</w:t>
      </w:r>
    </w:p>
    <w:p w14:paraId="36992C78" w14:textId="77777777" w:rsidR="00C43B94" w:rsidRDefault="00C43B94" w:rsidP="00300353">
      <w:pPr>
        <w:jc w:val="both"/>
        <w:rPr>
          <w:rFonts w:ascii="Arial" w:hAnsi="Arial" w:cs="Arial"/>
          <w:sz w:val="24"/>
          <w:szCs w:val="24"/>
          <w:lang w:val="es-ES"/>
        </w:rPr>
      </w:pPr>
    </w:p>
    <w:p w14:paraId="52A105A2" w14:textId="3105D40F" w:rsidR="00C43B94" w:rsidRPr="00605924" w:rsidRDefault="00C43B94" w:rsidP="00605924">
      <w:pPr>
        <w:jc w:val="both"/>
        <w:rPr>
          <w:rFonts w:ascii="Arial" w:hAnsi="Arial" w:cs="Arial"/>
          <w:sz w:val="24"/>
          <w:szCs w:val="24"/>
          <w:lang w:val="es-ES"/>
        </w:rPr>
      </w:pPr>
      <w:r>
        <w:rPr>
          <w:rFonts w:ascii="Arial" w:hAnsi="Arial" w:cs="Arial"/>
          <w:sz w:val="24"/>
          <w:szCs w:val="24"/>
          <w:lang w:val="es-ES"/>
        </w:rPr>
        <w:t>De acuerdo con el art. 85 inc. a) de la LIG, “e</w:t>
      </w:r>
      <w:r w:rsidRPr="00605924">
        <w:rPr>
          <w:rFonts w:ascii="Arial" w:hAnsi="Arial" w:cs="Arial"/>
          <w:sz w:val="24"/>
          <w:szCs w:val="24"/>
          <w:lang w:val="es-ES"/>
        </w:rPr>
        <w:t xml:space="preserve">n el caso de los sujetos comprendidos en el artículo 53, los intereses de deudas de carácter financiero -excluyéndose, en consecuencia, las deudas generadas por adquisiciones de bienes, locaciones y prestaciones de servicios relacionados con el giro del negocio- contraídos con sujetos, residentes o no en la República Argentina, vinculados en los términos del artículo 18 de esta ley, serán deducibles del balance impositivo al que corresponda su imputación, no pudiendo superar tal deducción el monto anual que al respecto establezca el Poder Ejecutivo Nacional o el equivalente al treinta por ciento (30%) de la ganancia neta del ejercicio que </w:t>
      </w:r>
      <w:r w:rsidRPr="00605924">
        <w:rPr>
          <w:rFonts w:ascii="Arial" w:hAnsi="Arial" w:cs="Arial"/>
          <w:sz w:val="24"/>
          <w:szCs w:val="24"/>
          <w:lang w:val="es-ES"/>
        </w:rPr>
        <w:lastRenderedPageBreak/>
        <w:t>resulte antes de deducir tanto los intereses a los que alude este párrafo como las amortizaciones previstas en esta ley, el que resulte mayor.</w:t>
      </w:r>
    </w:p>
    <w:p w14:paraId="1AE551AF" w14:textId="77777777" w:rsidR="00C43B94" w:rsidRDefault="00C43B94" w:rsidP="00605924">
      <w:pPr>
        <w:jc w:val="both"/>
        <w:rPr>
          <w:rFonts w:ascii="Arial" w:hAnsi="Arial" w:cs="Arial"/>
          <w:sz w:val="24"/>
          <w:szCs w:val="24"/>
          <w:lang w:val="es-ES"/>
        </w:rPr>
      </w:pPr>
    </w:p>
    <w:p w14:paraId="0661F3DE" w14:textId="40C684E6" w:rsidR="00C43B94" w:rsidRDefault="00C43B94" w:rsidP="00605924">
      <w:pPr>
        <w:jc w:val="both"/>
        <w:rPr>
          <w:rFonts w:ascii="Arial" w:hAnsi="Arial" w:cs="Arial"/>
          <w:sz w:val="24"/>
          <w:szCs w:val="24"/>
          <w:lang w:val="es-ES"/>
        </w:rPr>
      </w:pPr>
      <w:r w:rsidRPr="00605924">
        <w:rPr>
          <w:rFonts w:ascii="Arial" w:hAnsi="Arial" w:cs="Arial"/>
          <w:sz w:val="24"/>
          <w:szCs w:val="24"/>
          <w:lang w:val="es-ES"/>
        </w:rPr>
        <w:t>Al límite aplicable a que se refiere el párrafo anterior se le podrá adicionar el excedente que se haya acumulado en los tres (3) ejercicios fiscales inmediatos anteriores, por resultar inferior -en cualquiera de dichos períodos- el monto de los intereses efectivamente deducidos respecto del límite aplicable, en la medida que dicho excedente no hubiera sido aplicado con anterioridad conforme el procedimiento dispuesto en este párrafo.</w:t>
      </w:r>
    </w:p>
    <w:p w14:paraId="0DDBFB75" w14:textId="77777777" w:rsidR="00C43B94" w:rsidRPr="00605924" w:rsidRDefault="00C43B94" w:rsidP="00605924">
      <w:pPr>
        <w:jc w:val="both"/>
        <w:rPr>
          <w:rFonts w:ascii="Arial" w:hAnsi="Arial" w:cs="Arial"/>
          <w:sz w:val="24"/>
          <w:szCs w:val="24"/>
          <w:lang w:val="es-ES"/>
        </w:rPr>
      </w:pPr>
    </w:p>
    <w:p w14:paraId="3CA89364" w14:textId="77777777" w:rsidR="00C43B94" w:rsidRDefault="00C43B94" w:rsidP="00300353">
      <w:pPr>
        <w:jc w:val="both"/>
        <w:rPr>
          <w:rFonts w:ascii="Arial" w:hAnsi="Arial" w:cs="Arial"/>
          <w:sz w:val="24"/>
          <w:szCs w:val="24"/>
          <w:lang w:val="es-ES"/>
        </w:rPr>
      </w:pPr>
      <w:r w:rsidRPr="00605924">
        <w:rPr>
          <w:rFonts w:ascii="Arial" w:hAnsi="Arial" w:cs="Arial"/>
          <w:sz w:val="24"/>
          <w:szCs w:val="24"/>
          <w:lang w:val="es-ES"/>
        </w:rPr>
        <w:t>Los intereses que, de acuerdo con lo dispuesto en los párrafos precedentes, no hubieran podido deducirse, podrán adicionarse a aquellos correspondientes a los cinco (5) ejercicios fiscales inmediatos siguientes, quedando sujetos al mecanismo de limitación allí previsto</w:t>
      </w:r>
      <w:r>
        <w:rPr>
          <w:rFonts w:ascii="Arial" w:hAnsi="Arial" w:cs="Arial"/>
          <w:sz w:val="24"/>
          <w:szCs w:val="24"/>
          <w:lang w:val="es-ES"/>
        </w:rPr>
        <w:t>”</w:t>
      </w:r>
      <w:r w:rsidRPr="00605924">
        <w:rPr>
          <w:rFonts w:ascii="Arial" w:hAnsi="Arial" w:cs="Arial"/>
          <w:sz w:val="24"/>
          <w:szCs w:val="24"/>
          <w:lang w:val="es-ES"/>
        </w:rPr>
        <w:t xml:space="preserve">. </w:t>
      </w:r>
    </w:p>
    <w:p w14:paraId="58E4A023" w14:textId="7CBFF457" w:rsidR="00C43B94" w:rsidRDefault="00C43B94" w:rsidP="00300353">
      <w:pPr>
        <w:jc w:val="both"/>
        <w:rPr>
          <w:rFonts w:ascii="Arial" w:hAnsi="Arial" w:cs="Arial"/>
          <w:sz w:val="24"/>
          <w:szCs w:val="24"/>
          <w:lang w:val="es-ES"/>
        </w:rPr>
      </w:pPr>
    </w:p>
    <w:p w14:paraId="6B0DB3BA" w14:textId="147EB1D5" w:rsidR="00C43B94" w:rsidRDefault="00C43B94" w:rsidP="00300353">
      <w:pPr>
        <w:jc w:val="both"/>
        <w:rPr>
          <w:rFonts w:ascii="Arial" w:hAnsi="Arial" w:cs="Arial"/>
          <w:sz w:val="24"/>
          <w:szCs w:val="24"/>
          <w:lang w:val="es-ES"/>
        </w:rPr>
      </w:pPr>
      <w:r>
        <w:rPr>
          <w:rFonts w:ascii="Arial" w:hAnsi="Arial" w:cs="Arial"/>
          <w:sz w:val="24"/>
          <w:szCs w:val="24"/>
          <w:lang w:val="es-ES"/>
        </w:rPr>
        <w:t>E</w:t>
      </w:r>
      <w:r w:rsidRPr="00F650AF">
        <w:rPr>
          <w:rFonts w:ascii="Arial" w:hAnsi="Arial" w:cs="Arial"/>
          <w:sz w:val="24"/>
          <w:szCs w:val="24"/>
          <w:lang w:val="es-ES"/>
        </w:rPr>
        <w:t>l término “intereses” comprende, asimismo, las diferencias de cambio y, en su caso, actualizaciones, generadas por los pasivos que los originan, en la medida en que no resulte de aplicación el procedimiento previsto en el artículo 106 de esta ley, conforme lo dispuesto en su segundo párrafo</w:t>
      </w:r>
      <w:r>
        <w:rPr>
          <w:rFonts w:ascii="Arial" w:hAnsi="Arial" w:cs="Arial"/>
          <w:sz w:val="24"/>
          <w:szCs w:val="24"/>
          <w:lang w:val="es-ES"/>
        </w:rPr>
        <w:t>.</w:t>
      </w:r>
    </w:p>
    <w:p w14:paraId="3D154495" w14:textId="77777777" w:rsidR="00C43B94" w:rsidRDefault="00C43B94" w:rsidP="00300353">
      <w:pPr>
        <w:jc w:val="both"/>
        <w:rPr>
          <w:rFonts w:ascii="Arial" w:hAnsi="Arial" w:cs="Arial"/>
          <w:sz w:val="24"/>
          <w:szCs w:val="24"/>
          <w:lang w:val="es-ES"/>
        </w:rPr>
      </w:pPr>
    </w:p>
    <w:p w14:paraId="71545C86" w14:textId="45D670BA" w:rsidR="00C43B94" w:rsidRDefault="00C43B94" w:rsidP="00300353">
      <w:pPr>
        <w:jc w:val="both"/>
        <w:rPr>
          <w:rFonts w:ascii="Arial" w:hAnsi="Arial" w:cs="Arial"/>
          <w:sz w:val="24"/>
          <w:szCs w:val="24"/>
          <w:lang w:val="es-ES"/>
        </w:rPr>
      </w:pPr>
      <w:r>
        <w:rPr>
          <w:rFonts w:ascii="Arial" w:hAnsi="Arial" w:cs="Arial"/>
          <w:sz w:val="24"/>
          <w:szCs w:val="24"/>
          <w:lang w:val="es-ES"/>
        </w:rPr>
        <w:t xml:space="preserve">Los cargos financieros -intereses y diferencia de cambio del principal- de deudas financiera con sujetos vinculados -residentes o no residentes-, tienen una limitación de deducción. El importe no deducible se puede computar en el futuro con un límite temporal de 5 años. </w:t>
      </w:r>
    </w:p>
    <w:p w14:paraId="45DD553A" w14:textId="77777777" w:rsidR="00C43B94" w:rsidRDefault="00C43B94" w:rsidP="00300353">
      <w:pPr>
        <w:jc w:val="both"/>
        <w:rPr>
          <w:rFonts w:ascii="Arial" w:hAnsi="Arial" w:cs="Arial"/>
          <w:sz w:val="24"/>
          <w:szCs w:val="24"/>
          <w:lang w:val="es-ES"/>
        </w:rPr>
      </w:pPr>
    </w:p>
    <w:p w14:paraId="11DCB9DB" w14:textId="0BDAFB83" w:rsidR="00C43B94" w:rsidRDefault="00C43B94" w:rsidP="005A640B">
      <w:pPr>
        <w:jc w:val="both"/>
        <w:rPr>
          <w:rFonts w:ascii="Arial" w:hAnsi="Arial" w:cs="Arial"/>
          <w:sz w:val="24"/>
          <w:szCs w:val="24"/>
          <w:lang w:val="es-ES"/>
        </w:rPr>
      </w:pPr>
      <w:r>
        <w:rPr>
          <w:rFonts w:ascii="Arial" w:hAnsi="Arial" w:cs="Arial"/>
          <w:sz w:val="24"/>
          <w:szCs w:val="24"/>
          <w:lang w:val="es-ES"/>
        </w:rPr>
        <w:t xml:space="preserve">La limitación precedente, viene a ser un parámetro para atenuar los efectos de la “subcapitalización de empresas”, y evitar las dificultades de otros parámetros anteriores de relación deuda vs. patrimonio neto. </w:t>
      </w:r>
    </w:p>
    <w:p w14:paraId="24D00301" w14:textId="5B0FF496" w:rsidR="00C43B94" w:rsidRDefault="00C43B94" w:rsidP="00300353">
      <w:pPr>
        <w:jc w:val="both"/>
        <w:rPr>
          <w:rFonts w:ascii="Arial" w:hAnsi="Arial" w:cs="Arial"/>
          <w:sz w:val="24"/>
          <w:szCs w:val="24"/>
          <w:lang w:val="es-ES"/>
        </w:rPr>
      </w:pPr>
    </w:p>
    <w:p w14:paraId="20893114" w14:textId="393588BF" w:rsidR="00C43B94" w:rsidRDefault="00C43B94" w:rsidP="00300353">
      <w:pPr>
        <w:jc w:val="both"/>
        <w:rPr>
          <w:rFonts w:ascii="Arial" w:hAnsi="Arial" w:cs="Arial"/>
          <w:sz w:val="24"/>
          <w:szCs w:val="24"/>
          <w:lang w:val="es-ES"/>
        </w:rPr>
      </w:pPr>
      <w:r>
        <w:rPr>
          <w:rFonts w:ascii="Arial" w:hAnsi="Arial" w:cs="Arial"/>
          <w:sz w:val="24"/>
          <w:szCs w:val="24"/>
          <w:lang w:val="es-ES"/>
        </w:rPr>
        <w:t xml:space="preserve">Ante la existencia de importantes cargos financieros, al incluir las diferencias de cambio originada por las devaluaciones, el quebranto diferido puede tener una magnitud que es sujeto a una desvalorización significativa, pues no está prevista su imputación futura a moneda constante. </w:t>
      </w:r>
    </w:p>
    <w:p w14:paraId="7AA4076A" w14:textId="01BD7A4D" w:rsidR="00C43B94" w:rsidRDefault="00C43B94" w:rsidP="00300353">
      <w:pPr>
        <w:jc w:val="both"/>
        <w:rPr>
          <w:rFonts w:ascii="Arial" w:hAnsi="Arial" w:cs="Arial"/>
          <w:sz w:val="24"/>
          <w:szCs w:val="24"/>
          <w:lang w:val="es-ES"/>
        </w:rPr>
      </w:pPr>
    </w:p>
    <w:p w14:paraId="5D099B23" w14:textId="011C04D8" w:rsidR="00C43B94" w:rsidRDefault="00C43B94" w:rsidP="00300353">
      <w:pPr>
        <w:jc w:val="both"/>
        <w:rPr>
          <w:rFonts w:ascii="Arial" w:hAnsi="Arial" w:cs="Arial"/>
          <w:sz w:val="24"/>
          <w:szCs w:val="24"/>
          <w:lang w:val="es-ES"/>
        </w:rPr>
      </w:pPr>
      <w:r w:rsidRPr="00807753">
        <w:rPr>
          <w:rFonts w:ascii="Arial" w:hAnsi="Arial" w:cs="Arial"/>
          <w:sz w:val="24"/>
          <w:szCs w:val="24"/>
          <w:lang w:val="es-ES"/>
        </w:rPr>
        <w:t xml:space="preserve">No obstante, en escenarios de alta inflación donde se configuren los parámetros para la aplicación del procedimiento de ajuste por inflación (art. 106), los efectos financieros de dichas deudas (en </w:t>
      </w:r>
      <w:r w:rsidR="003E1BF5" w:rsidRPr="00807753">
        <w:rPr>
          <w:rFonts w:ascii="Arial" w:hAnsi="Arial" w:cs="Arial"/>
          <w:sz w:val="24"/>
          <w:szCs w:val="24"/>
          <w:lang w:val="es-ES"/>
        </w:rPr>
        <w:t>relación</w:t>
      </w:r>
      <w:r w:rsidRPr="00807753">
        <w:rPr>
          <w:rFonts w:ascii="Arial" w:hAnsi="Arial" w:cs="Arial"/>
          <w:sz w:val="24"/>
          <w:szCs w:val="24"/>
          <w:lang w:val="es-ES"/>
        </w:rPr>
        <w:t xml:space="preserve"> a las diferencias de cambio negativas derivadas del principal de la deuda) no estarían limitados en su deducibilidad, conforme el párrafo agregado en el art. 82 inc.a) por la ley 27430 para los ejercicios </w:t>
      </w:r>
      <w:r w:rsidR="003E1BF5" w:rsidRPr="00807753">
        <w:rPr>
          <w:rFonts w:ascii="Arial" w:hAnsi="Arial" w:cs="Arial"/>
          <w:sz w:val="24"/>
          <w:szCs w:val="24"/>
          <w:lang w:val="es-ES"/>
        </w:rPr>
        <w:t>iniciados</w:t>
      </w:r>
      <w:r w:rsidRPr="00807753">
        <w:rPr>
          <w:rFonts w:ascii="Arial" w:hAnsi="Arial" w:cs="Arial"/>
          <w:sz w:val="24"/>
          <w:szCs w:val="24"/>
          <w:lang w:val="es-ES"/>
        </w:rPr>
        <w:t xml:space="preserve"> a partir del 01.01.2018 inclusive.</w:t>
      </w:r>
      <w:r>
        <w:rPr>
          <w:rFonts w:ascii="Arial" w:hAnsi="Arial" w:cs="Arial"/>
          <w:sz w:val="24"/>
          <w:szCs w:val="24"/>
          <w:lang w:val="es-ES"/>
        </w:rPr>
        <w:t xml:space="preserve"> Es de interpretar que la deducción</w:t>
      </w:r>
      <w:r w:rsidR="00984468">
        <w:rPr>
          <w:rFonts w:ascii="Arial" w:hAnsi="Arial" w:cs="Arial"/>
          <w:sz w:val="24"/>
          <w:szCs w:val="24"/>
          <w:lang w:val="es-ES"/>
        </w:rPr>
        <w:t xml:space="preserve"> </w:t>
      </w:r>
      <w:r>
        <w:rPr>
          <w:rFonts w:ascii="Arial" w:hAnsi="Arial" w:cs="Arial"/>
          <w:sz w:val="24"/>
          <w:szCs w:val="24"/>
          <w:lang w:val="es-ES"/>
        </w:rPr>
        <w:t xml:space="preserve">de las diferencias de cambio se compensaría en términos conceptuales o </w:t>
      </w:r>
      <w:r w:rsidR="003E1BF5">
        <w:rPr>
          <w:rFonts w:ascii="Arial" w:hAnsi="Arial" w:cs="Arial"/>
          <w:sz w:val="24"/>
          <w:szCs w:val="24"/>
          <w:lang w:val="es-ES"/>
        </w:rPr>
        <w:t>teóricos</w:t>
      </w:r>
      <w:r>
        <w:rPr>
          <w:rFonts w:ascii="Arial" w:hAnsi="Arial" w:cs="Arial"/>
          <w:sz w:val="24"/>
          <w:szCs w:val="24"/>
          <w:lang w:val="es-ES"/>
        </w:rPr>
        <w:t xml:space="preserve"> con el ajuste positivo derivado de los pasivos computables. </w:t>
      </w:r>
    </w:p>
    <w:p w14:paraId="2A1057F8" w14:textId="77777777" w:rsidR="00C43B94" w:rsidRDefault="00C43B94" w:rsidP="00300353">
      <w:pPr>
        <w:jc w:val="both"/>
        <w:rPr>
          <w:rFonts w:ascii="Arial" w:hAnsi="Arial" w:cs="Arial"/>
          <w:sz w:val="24"/>
          <w:szCs w:val="24"/>
          <w:lang w:val="es-ES"/>
        </w:rPr>
      </w:pPr>
    </w:p>
    <w:p w14:paraId="0E26F350" w14:textId="2EAB7CF0" w:rsidR="00C43B94" w:rsidRDefault="00C43B94" w:rsidP="00300353">
      <w:pPr>
        <w:jc w:val="both"/>
        <w:rPr>
          <w:rFonts w:ascii="Arial" w:hAnsi="Arial" w:cs="Arial"/>
          <w:sz w:val="24"/>
          <w:szCs w:val="24"/>
          <w:lang w:val="es-ES"/>
        </w:rPr>
      </w:pPr>
      <w:r>
        <w:rPr>
          <w:rFonts w:ascii="Arial" w:hAnsi="Arial" w:cs="Arial"/>
          <w:sz w:val="24"/>
          <w:szCs w:val="24"/>
          <w:lang w:val="es-ES"/>
        </w:rPr>
        <w:t>En tal sentido, en otros países que tienen similares porcentajes de limitación de deducción de intereses (por ej. Estados Unidos</w:t>
      </w:r>
      <w:r w:rsidR="003E1BF5">
        <w:rPr>
          <w:rFonts w:ascii="Arial" w:hAnsi="Arial" w:cs="Arial"/>
          <w:sz w:val="24"/>
          <w:szCs w:val="24"/>
          <w:lang w:val="es-ES"/>
        </w:rPr>
        <w:t xml:space="preserve">, España, </w:t>
      </w:r>
      <w:r w:rsidR="00A41DE3">
        <w:rPr>
          <w:rFonts w:ascii="Arial" w:hAnsi="Arial" w:cs="Arial"/>
          <w:sz w:val="24"/>
          <w:szCs w:val="24"/>
          <w:lang w:val="es-ES"/>
        </w:rPr>
        <w:t>Alemania</w:t>
      </w:r>
      <w:r w:rsidR="003E1BF5">
        <w:rPr>
          <w:rFonts w:ascii="Arial" w:hAnsi="Arial" w:cs="Arial"/>
          <w:sz w:val="24"/>
          <w:szCs w:val="24"/>
          <w:lang w:val="es-ES"/>
        </w:rPr>
        <w:t>, entre otros</w:t>
      </w:r>
      <w:r>
        <w:rPr>
          <w:rFonts w:ascii="Arial" w:hAnsi="Arial" w:cs="Arial"/>
          <w:sz w:val="24"/>
          <w:szCs w:val="24"/>
          <w:lang w:val="es-ES"/>
        </w:rPr>
        <w:t>) los montos no deducidos se difieren en forma indefinida</w:t>
      </w:r>
      <w:r w:rsidR="00A41DE3">
        <w:rPr>
          <w:rFonts w:ascii="Arial" w:hAnsi="Arial" w:cs="Arial"/>
          <w:sz w:val="24"/>
          <w:szCs w:val="24"/>
          <w:lang w:val="es-ES"/>
        </w:rPr>
        <w:t>, sin plazo alguno</w:t>
      </w:r>
      <w:r>
        <w:rPr>
          <w:rFonts w:ascii="Arial" w:hAnsi="Arial" w:cs="Arial"/>
          <w:sz w:val="24"/>
          <w:szCs w:val="24"/>
          <w:lang w:val="es-ES"/>
        </w:rPr>
        <w:t xml:space="preserve">. Incluso en Estados Unidos para los ejercicios iniciados en 2019 y 2020 se ha ampliado el porcentaje </w:t>
      </w:r>
      <w:r w:rsidR="00A41DE3">
        <w:rPr>
          <w:rFonts w:ascii="Arial" w:hAnsi="Arial" w:cs="Arial"/>
          <w:sz w:val="24"/>
          <w:szCs w:val="24"/>
          <w:lang w:val="es-ES"/>
        </w:rPr>
        <w:t xml:space="preserve">de restricción </w:t>
      </w:r>
      <w:r>
        <w:rPr>
          <w:rFonts w:ascii="Arial" w:hAnsi="Arial" w:cs="Arial"/>
          <w:sz w:val="24"/>
          <w:szCs w:val="24"/>
          <w:lang w:val="es-ES"/>
        </w:rPr>
        <w:t>de 30% a 50% como parte de la ayuda fiscal frente a la pandemia Covid-19</w:t>
      </w:r>
      <w:r w:rsidR="004378EB">
        <w:rPr>
          <w:rStyle w:val="Refdenotaalfinal"/>
          <w:rFonts w:ascii="Arial" w:hAnsi="Arial" w:cs="Arial"/>
          <w:sz w:val="24"/>
          <w:szCs w:val="24"/>
          <w:lang w:val="es-ES"/>
        </w:rPr>
        <w:endnoteReference w:id="24"/>
      </w:r>
      <w:r>
        <w:rPr>
          <w:rFonts w:ascii="Arial" w:hAnsi="Arial" w:cs="Arial"/>
          <w:sz w:val="24"/>
          <w:szCs w:val="24"/>
          <w:lang w:val="es-ES"/>
        </w:rPr>
        <w:t xml:space="preserve">. Demás está decir que las realidades del dólar o el euro, </w:t>
      </w:r>
      <w:r>
        <w:rPr>
          <w:rFonts w:ascii="Arial" w:hAnsi="Arial" w:cs="Arial"/>
          <w:sz w:val="24"/>
          <w:szCs w:val="24"/>
          <w:lang w:val="es-ES"/>
        </w:rPr>
        <w:lastRenderedPageBreak/>
        <w:t xml:space="preserve">hacen mucho menos trascendente la falta de ajuste a moneda constante, que frente al peso se hace imprescindible para preservar principios de razonabilidad y equidad tributaria. </w:t>
      </w:r>
    </w:p>
    <w:p w14:paraId="10AF5745" w14:textId="31B3B547" w:rsidR="00C43B94" w:rsidRDefault="00C43B94" w:rsidP="004C368B">
      <w:pPr>
        <w:jc w:val="both"/>
        <w:rPr>
          <w:rFonts w:ascii="Arial" w:hAnsi="Arial" w:cs="Arial"/>
          <w:sz w:val="24"/>
          <w:szCs w:val="24"/>
          <w:lang w:val="es-ES"/>
        </w:rPr>
      </w:pPr>
    </w:p>
    <w:p w14:paraId="31D4BC81" w14:textId="5EB0AD15" w:rsidR="00C43B94" w:rsidRPr="00F650AF" w:rsidRDefault="00C43B94" w:rsidP="004C368B">
      <w:pPr>
        <w:jc w:val="both"/>
        <w:rPr>
          <w:rFonts w:ascii="Arial" w:hAnsi="Arial" w:cs="Arial"/>
          <w:sz w:val="24"/>
          <w:szCs w:val="24"/>
          <w:u w:val="single"/>
          <w:lang w:val="es-ES"/>
        </w:rPr>
      </w:pPr>
      <w:r>
        <w:rPr>
          <w:rFonts w:ascii="Arial" w:hAnsi="Arial" w:cs="Arial"/>
          <w:sz w:val="24"/>
          <w:szCs w:val="24"/>
          <w:lang w:val="es-ES"/>
        </w:rPr>
        <w:t>5</w:t>
      </w:r>
      <w:r w:rsidR="003C69AF">
        <w:rPr>
          <w:rFonts w:ascii="Arial" w:hAnsi="Arial" w:cs="Arial"/>
          <w:sz w:val="24"/>
          <w:szCs w:val="24"/>
          <w:lang w:val="es-ES"/>
        </w:rPr>
        <w:t>.</w:t>
      </w:r>
      <w:r>
        <w:rPr>
          <w:rFonts w:ascii="Arial" w:hAnsi="Arial" w:cs="Arial"/>
          <w:sz w:val="24"/>
          <w:szCs w:val="24"/>
          <w:lang w:val="es-ES"/>
        </w:rPr>
        <w:t xml:space="preserve">5. </w:t>
      </w:r>
      <w:r w:rsidRPr="00F650AF">
        <w:rPr>
          <w:rFonts w:ascii="Arial" w:hAnsi="Arial" w:cs="Arial"/>
          <w:sz w:val="24"/>
          <w:szCs w:val="24"/>
          <w:u w:val="single"/>
          <w:lang w:val="es-ES"/>
        </w:rPr>
        <w:t>Resumen de quebrantos fiscales, imputable en ejercicios futuros.</w:t>
      </w:r>
    </w:p>
    <w:p w14:paraId="14CEA787" w14:textId="56FD940C" w:rsidR="00C43B94" w:rsidRDefault="00C43B94" w:rsidP="004C368B">
      <w:pPr>
        <w:jc w:val="both"/>
        <w:rPr>
          <w:rFonts w:ascii="Arial" w:hAnsi="Arial" w:cs="Arial"/>
          <w:sz w:val="24"/>
          <w:szCs w:val="24"/>
          <w:lang w:val="es-ES"/>
        </w:rPr>
      </w:pPr>
    </w:p>
    <w:p w14:paraId="59257E6E" w14:textId="4A217999" w:rsidR="00C43B94" w:rsidRDefault="00C43B94" w:rsidP="004C368B">
      <w:pPr>
        <w:jc w:val="both"/>
        <w:rPr>
          <w:rFonts w:ascii="Arial" w:hAnsi="Arial" w:cs="Arial"/>
          <w:sz w:val="24"/>
          <w:szCs w:val="24"/>
          <w:lang w:val="es-ES"/>
        </w:rPr>
      </w:pPr>
      <w:r>
        <w:rPr>
          <w:rFonts w:ascii="Arial" w:hAnsi="Arial" w:cs="Arial"/>
          <w:sz w:val="24"/>
          <w:szCs w:val="24"/>
          <w:lang w:val="es-ES"/>
        </w:rPr>
        <w:t>Personas humanas y sucesiones indivisas.</w:t>
      </w:r>
    </w:p>
    <w:p w14:paraId="0142B1B6" w14:textId="76A84ADC" w:rsidR="00C43B94" w:rsidRDefault="00C43B94" w:rsidP="004C368B">
      <w:pPr>
        <w:jc w:val="both"/>
        <w:rPr>
          <w:rFonts w:ascii="Arial" w:hAnsi="Arial" w:cs="Arial"/>
          <w:sz w:val="24"/>
          <w:szCs w:val="24"/>
          <w:lang w:val="es-ES"/>
        </w:rPr>
      </w:pPr>
    </w:p>
    <w:p w14:paraId="314CDF85" w14:textId="0F35757E" w:rsidR="00C43B94" w:rsidRDefault="00C43B94" w:rsidP="0093377A">
      <w:pPr>
        <w:pStyle w:val="Prrafodelista"/>
        <w:numPr>
          <w:ilvl w:val="0"/>
          <w:numId w:val="7"/>
        </w:numPr>
        <w:jc w:val="both"/>
        <w:rPr>
          <w:rFonts w:ascii="Arial" w:hAnsi="Arial" w:cs="Arial"/>
          <w:sz w:val="24"/>
          <w:szCs w:val="24"/>
          <w:lang w:val="es-ES"/>
        </w:rPr>
      </w:pPr>
      <w:r>
        <w:rPr>
          <w:rFonts w:ascii="Arial" w:hAnsi="Arial" w:cs="Arial"/>
          <w:sz w:val="24"/>
          <w:szCs w:val="24"/>
          <w:lang w:val="es-ES"/>
        </w:rPr>
        <w:t>Quebranto especifico impuesto cedular – art. 99- enajenación inmuebles.</w:t>
      </w:r>
    </w:p>
    <w:p w14:paraId="10E91607" w14:textId="65BE333D" w:rsidR="00C43B94" w:rsidRDefault="00C43B94" w:rsidP="0093377A">
      <w:pPr>
        <w:pStyle w:val="Prrafodelista"/>
        <w:numPr>
          <w:ilvl w:val="0"/>
          <w:numId w:val="7"/>
        </w:numPr>
        <w:jc w:val="both"/>
        <w:rPr>
          <w:rFonts w:ascii="Arial" w:hAnsi="Arial" w:cs="Arial"/>
          <w:sz w:val="24"/>
          <w:szCs w:val="24"/>
          <w:lang w:val="es-ES"/>
        </w:rPr>
      </w:pPr>
      <w:r>
        <w:rPr>
          <w:rFonts w:ascii="Arial" w:hAnsi="Arial" w:cs="Arial"/>
          <w:sz w:val="24"/>
          <w:szCs w:val="24"/>
          <w:lang w:val="es-ES"/>
        </w:rPr>
        <w:t>Quebranto especifico impuesto cedular -art.98- enajenación acciones y otros títulos valores.</w:t>
      </w:r>
    </w:p>
    <w:p w14:paraId="7BE2A610" w14:textId="27875B97" w:rsidR="00C43B94" w:rsidRDefault="00C43B94" w:rsidP="00C1345C">
      <w:pPr>
        <w:jc w:val="both"/>
        <w:rPr>
          <w:rFonts w:ascii="Arial" w:hAnsi="Arial" w:cs="Arial"/>
          <w:sz w:val="24"/>
          <w:szCs w:val="24"/>
          <w:lang w:val="es-ES"/>
        </w:rPr>
      </w:pPr>
    </w:p>
    <w:p w14:paraId="0ED18906" w14:textId="1B926092" w:rsidR="00C43B94" w:rsidRDefault="00C43B94" w:rsidP="00C1345C">
      <w:pPr>
        <w:jc w:val="both"/>
        <w:rPr>
          <w:rFonts w:ascii="Arial" w:hAnsi="Arial" w:cs="Arial"/>
          <w:sz w:val="24"/>
          <w:szCs w:val="24"/>
          <w:lang w:val="es-ES"/>
        </w:rPr>
      </w:pPr>
      <w:r>
        <w:rPr>
          <w:rFonts w:ascii="Arial" w:hAnsi="Arial" w:cs="Arial"/>
          <w:sz w:val="24"/>
          <w:szCs w:val="24"/>
          <w:lang w:val="es-ES"/>
        </w:rPr>
        <w:t>Personas humanas, sucesiones indivisas y personas jurídicas o similar tratamiento.</w:t>
      </w:r>
    </w:p>
    <w:p w14:paraId="598F7D5B" w14:textId="70C8EE5D" w:rsidR="00C43B94" w:rsidRDefault="00C43B94" w:rsidP="00C1345C">
      <w:pPr>
        <w:jc w:val="both"/>
        <w:rPr>
          <w:rFonts w:ascii="Arial" w:hAnsi="Arial" w:cs="Arial"/>
          <w:sz w:val="24"/>
          <w:szCs w:val="24"/>
          <w:lang w:val="es-ES"/>
        </w:rPr>
      </w:pPr>
    </w:p>
    <w:p w14:paraId="676D4B9C" w14:textId="7C1C53F4" w:rsidR="00C43B94" w:rsidRDefault="00C43B94" w:rsidP="00C1345C">
      <w:pPr>
        <w:pStyle w:val="Prrafodelista"/>
        <w:numPr>
          <w:ilvl w:val="0"/>
          <w:numId w:val="8"/>
        </w:numPr>
        <w:jc w:val="both"/>
        <w:rPr>
          <w:rFonts w:ascii="Arial" w:hAnsi="Arial" w:cs="Arial"/>
          <w:sz w:val="24"/>
          <w:szCs w:val="24"/>
          <w:lang w:val="es-ES"/>
        </w:rPr>
      </w:pPr>
      <w:r>
        <w:rPr>
          <w:rFonts w:ascii="Arial" w:hAnsi="Arial" w:cs="Arial"/>
          <w:sz w:val="24"/>
          <w:szCs w:val="24"/>
          <w:lang w:val="es-ES"/>
        </w:rPr>
        <w:t xml:space="preserve">Quebrantos de fuente argentina, que no tengan un tratamiento </w:t>
      </w:r>
      <w:r w:rsidR="004566A8">
        <w:rPr>
          <w:rFonts w:ascii="Arial" w:hAnsi="Arial" w:cs="Arial"/>
          <w:sz w:val="24"/>
          <w:szCs w:val="24"/>
          <w:lang w:val="es-ES"/>
        </w:rPr>
        <w:t>específico</w:t>
      </w:r>
      <w:r>
        <w:rPr>
          <w:rFonts w:ascii="Arial" w:hAnsi="Arial" w:cs="Arial"/>
          <w:sz w:val="24"/>
          <w:szCs w:val="24"/>
          <w:lang w:val="es-ES"/>
        </w:rPr>
        <w:t>.</w:t>
      </w:r>
    </w:p>
    <w:p w14:paraId="65CDC40E" w14:textId="41CF77D3" w:rsidR="00A41DE3" w:rsidRDefault="00A41DE3" w:rsidP="00C1345C">
      <w:pPr>
        <w:pStyle w:val="Prrafodelista"/>
        <w:numPr>
          <w:ilvl w:val="0"/>
          <w:numId w:val="8"/>
        </w:numPr>
        <w:jc w:val="both"/>
        <w:rPr>
          <w:rFonts w:ascii="Arial" w:hAnsi="Arial" w:cs="Arial"/>
          <w:sz w:val="24"/>
          <w:szCs w:val="24"/>
          <w:lang w:val="es-ES"/>
        </w:rPr>
      </w:pPr>
      <w:r>
        <w:rPr>
          <w:rFonts w:ascii="Arial" w:hAnsi="Arial" w:cs="Arial"/>
          <w:sz w:val="24"/>
          <w:szCs w:val="24"/>
          <w:lang w:val="es-ES"/>
        </w:rPr>
        <w:t>Quebrantos derivados de operaciones en la plataforma marítima argentina.</w:t>
      </w:r>
    </w:p>
    <w:p w14:paraId="105FDF29" w14:textId="6B779BBF" w:rsidR="00C43B94" w:rsidRDefault="00C43B94" w:rsidP="00C1345C">
      <w:pPr>
        <w:pStyle w:val="Prrafodelista"/>
        <w:numPr>
          <w:ilvl w:val="0"/>
          <w:numId w:val="8"/>
        </w:numPr>
        <w:jc w:val="both"/>
        <w:rPr>
          <w:rFonts w:ascii="Arial" w:hAnsi="Arial" w:cs="Arial"/>
          <w:sz w:val="24"/>
          <w:szCs w:val="24"/>
          <w:lang w:val="es-ES"/>
        </w:rPr>
      </w:pPr>
      <w:r>
        <w:rPr>
          <w:rFonts w:ascii="Arial" w:hAnsi="Arial" w:cs="Arial"/>
          <w:sz w:val="24"/>
          <w:szCs w:val="24"/>
          <w:lang w:val="es-ES"/>
        </w:rPr>
        <w:t>Quebrantos por enajenación de acciones y títulos valores no sujetas a impuesto cedular.</w:t>
      </w:r>
    </w:p>
    <w:p w14:paraId="669EE299" w14:textId="3715BEDB" w:rsidR="00C43B94" w:rsidRDefault="00C43B94" w:rsidP="00C1345C">
      <w:pPr>
        <w:pStyle w:val="Prrafodelista"/>
        <w:numPr>
          <w:ilvl w:val="0"/>
          <w:numId w:val="8"/>
        </w:numPr>
        <w:jc w:val="both"/>
        <w:rPr>
          <w:rFonts w:ascii="Arial" w:hAnsi="Arial" w:cs="Arial"/>
          <w:sz w:val="24"/>
          <w:szCs w:val="24"/>
          <w:lang w:val="es-ES"/>
        </w:rPr>
      </w:pPr>
      <w:r>
        <w:rPr>
          <w:rFonts w:ascii="Arial" w:hAnsi="Arial" w:cs="Arial"/>
          <w:sz w:val="24"/>
          <w:szCs w:val="24"/>
          <w:lang w:val="es-ES"/>
        </w:rPr>
        <w:t>Quebrantos por instrumentos y contratos derivados -especulativos-.</w:t>
      </w:r>
    </w:p>
    <w:p w14:paraId="5847B97D" w14:textId="6C4539D8" w:rsidR="00C43B94" w:rsidRDefault="00C43B94" w:rsidP="00C1345C">
      <w:pPr>
        <w:pStyle w:val="Prrafodelista"/>
        <w:numPr>
          <w:ilvl w:val="0"/>
          <w:numId w:val="8"/>
        </w:numPr>
        <w:jc w:val="both"/>
        <w:rPr>
          <w:rFonts w:ascii="Arial" w:hAnsi="Arial" w:cs="Arial"/>
          <w:sz w:val="24"/>
          <w:szCs w:val="24"/>
          <w:lang w:val="es-ES"/>
        </w:rPr>
      </w:pPr>
      <w:r>
        <w:rPr>
          <w:rFonts w:ascii="Arial" w:hAnsi="Arial" w:cs="Arial"/>
          <w:sz w:val="24"/>
          <w:szCs w:val="24"/>
          <w:lang w:val="es-ES"/>
        </w:rPr>
        <w:t xml:space="preserve">Quebrantos de fuente extranjera, que no tengan tratamiento </w:t>
      </w:r>
      <w:r w:rsidR="003E1BF5">
        <w:rPr>
          <w:rFonts w:ascii="Arial" w:hAnsi="Arial" w:cs="Arial"/>
          <w:sz w:val="24"/>
          <w:szCs w:val="24"/>
          <w:lang w:val="es-ES"/>
        </w:rPr>
        <w:t>específico</w:t>
      </w:r>
      <w:r>
        <w:rPr>
          <w:rFonts w:ascii="Arial" w:hAnsi="Arial" w:cs="Arial"/>
          <w:sz w:val="24"/>
          <w:szCs w:val="24"/>
          <w:lang w:val="es-ES"/>
        </w:rPr>
        <w:t>.</w:t>
      </w:r>
    </w:p>
    <w:p w14:paraId="406CAC71" w14:textId="1FD3385F" w:rsidR="00C43B94" w:rsidRDefault="00C43B94" w:rsidP="00C1345C">
      <w:pPr>
        <w:pStyle w:val="Prrafodelista"/>
        <w:numPr>
          <w:ilvl w:val="0"/>
          <w:numId w:val="8"/>
        </w:numPr>
        <w:jc w:val="both"/>
        <w:rPr>
          <w:rFonts w:ascii="Arial" w:hAnsi="Arial" w:cs="Arial"/>
          <w:sz w:val="24"/>
          <w:szCs w:val="24"/>
          <w:lang w:val="es-ES"/>
        </w:rPr>
      </w:pPr>
      <w:r>
        <w:rPr>
          <w:rFonts w:ascii="Arial" w:hAnsi="Arial" w:cs="Arial"/>
          <w:sz w:val="24"/>
          <w:szCs w:val="24"/>
          <w:lang w:val="es-ES"/>
        </w:rPr>
        <w:t>Quebrantos de fuente extranjera por enajenación de acciones y títulos valores.</w:t>
      </w:r>
    </w:p>
    <w:p w14:paraId="12FD3AD5" w14:textId="77777777" w:rsidR="00C43B94" w:rsidRDefault="00C43B94" w:rsidP="00C1345C">
      <w:pPr>
        <w:jc w:val="both"/>
        <w:rPr>
          <w:rFonts w:ascii="Arial" w:hAnsi="Arial" w:cs="Arial"/>
          <w:sz w:val="24"/>
          <w:szCs w:val="24"/>
          <w:lang w:val="es-ES"/>
        </w:rPr>
      </w:pPr>
    </w:p>
    <w:p w14:paraId="052668CF" w14:textId="510DA199" w:rsidR="00C43B94" w:rsidRDefault="00C43B94" w:rsidP="00C1345C">
      <w:pPr>
        <w:jc w:val="both"/>
        <w:rPr>
          <w:rFonts w:ascii="Arial" w:hAnsi="Arial" w:cs="Arial"/>
          <w:sz w:val="24"/>
          <w:szCs w:val="24"/>
          <w:lang w:val="es-ES"/>
        </w:rPr>
      </w:pPr>
      <w:r>
        <w:rPr>
          <w:rFonts w:ascii="Arial" w:hAnsi="Arial" w:cs="Arial"/>
          <w:sz w:val="24"/>
          <w:szCs w:val="24"/>
          <w:lang w:val="es-ES"/>
        </w:rPr>
        <w:t>Quebrantos subyacentes.</w:t>
      </w:r>
    </w:p>
    <w:p w14:paraId="7BF8F222" w14:textId="186DEFE6" w:rsidR="00C43B94" w:rsidRDefault="00C43B94" w:rsidP="00C1345C">
      <w:pPr>
        <w:jc w:val="both"/>
        <w:rPr>
          <w:rFonts w:ascii="Arial" w:hAnsi="Arial" w:cs="Arial"/>
          <w:sz w:val="24"/>
          <w:szCs w:val="24"/>
          <w:lang w:val="es-ES"/>
        </w:rPr>
      </w:pPr>
    </w:p>
    <w:p w14:paraId="4C99139C" w14:textId="0459B20F" w:rsidR="00C43B94" w:rsidRDefault="00C43B94" w:rsidP="00C1345C">
      <w:pPr>
        <w:pStyle w:val="Prrafodelista"/>
        <w:numPr>
          <w:ilvl w:val="0"/>
          <w:numId w:val="9"/>
        </w:numPr>
        <w:jc w:val="both"/>
        <w:rPr>
          <w:rFonts w:ascii="Arial" w:hAnsi="Arial" w:cs="Arial"/>
          <w:sz w:val="24"/>
          <w:szCs w:val="24"/>
          <w:lang w:val="es-ES"/>
        </w:rPr>
      </w:pPr>
      <w:r>
        <w:rPr>
          <w:rFonts w:ascii="Arial" w:hAnsi="Arial" w:cs="Arial"/>
          <w:sz w:val="24"/>
          <w:szCs w:val="24"/>
          <w:lang w:val="es-ES"/>
        </w:rPr>
        <w:t>Quebrantos diferidos de quebrantos por ajuste por inflación (sin actualización).</w:t>
      </w:r>
    </w:p>
    <w:p w14:paraId="35C0B89E" w14:textId="6FB63DDC" w:rsidR="00C43B94" w:rsidRPr="00F650AF" w:rsidRDefault="00C43B94" w:rsidP="00F650AF">
      <w:pPr>
        <w:pStyle w:val="Prrafodelista"/>
        <w:numPr>
          <w:ilvl w:val="0"/>
          <w:numId w:val="9"/>
        </w:numPr>
        <w:jc w:val="both"/>
        <w:rPr>
          <w:rFonts w:ascii="Arial" w:hAnsi="Arial" w:cs="Arial"/>
          <w:sz w:val="24"/>
          <w:szCs w:val="24"/>
          <w:lang w:val="es-ES"/>
        </w:rPr>
      </w:pPr>
      <w:r>
        <w:rPr>
          <w:rFonts w:ascii="Arial" w:hAnsi="Arial" w:cs="Arial"/>
          <w:sz w:val="24"/>
          <w:szCs w:val="24"/>
          <w:lang w:val="es-ES"/>
        </w:rPr>
        <w:t>Quebrantos diferidos por carga financiera de endeudamiento empresario (sin actualización)</w:t>
      </w:r>
      <w:r w:rsidR="003E1BF5">
        <w:rPr>
          <w:rFonts w:ascii="Arial" w:hAnsi="Arial" w:cs="Arial"/>
          <w:sz w:val="24"/>
          <w:szCs w:val="24"/>
          <w:lang w:val="es-ES"/>
        </w:rPr>
        <w:t>.</w:t>
      </w:r>
    </w:p>
    <w:p w14:paraId="179B43A8" w14:textId="432A3D67" w:rsidR="00C43B94" w:rsidRDefault="00C43B94" w:rsidP="00EC206C">
      <w:pPr>
        <w:jc w:val="both"/>
        <w:rPr>
          <w:rFonts w:ascii="Arial" w:hAnsi="Arial" w:cs="Arial"/>
          <w:sz w:val="24"/>
          <w:szCs w:val="24"/>
          <w:lang w:val="es-ES"/>
        </w:rPr>
      </w:pPr>
    </w:p>
    <w:p w14:paraId="46825FF9" w14:textId="12A8BF35" w:rsidR="006245A8" w:rsidRDefault="006245A8" w:rsidP="00EC206C">
      <w:pPr>
        <w:jc w:val="both"/>
        <w:rPr>
          <w:rFonts w:ascii="Arial" w:hAnsi="Arial" w:cs="Arial"/>
          <w:sz w:val="24"/>
          <w:szCs w:val="24"/>
          <w:lang w:val="es-ES"/>
        </w:rPr>
      </w:pPr>
    </w:p>
    <w:p w14:paraId="3E617DD0" w14:textId="1461AEBF" w:rsidR="00C43B94" w:rsidRPr="003C69AF" w:rsidRDefault="00897507" w:rsidP="00EC206C">
      <w:pPr>
        <w:jc w:val="both"/>
        <w:rPr>
          <w:rFonts w:ascii="Arial" w:hAnsi="Arial" w:cs="Arial"/>
          <w:b/>
          <w:bCs/>
          <w:sz w:val="24"/>
          <w:szCs w:val="24"/>
          <w:u w:val="single"/>
          <w:lang w:val="es-ES"/>
        </w:rPr>
      </w:pPr>
      <w:r>
        <w:rPr>
          <w:rFonts w:ascii="Arial" w:hAnsi="Arial" w:cs="Arial"/>
          <w:b/>
          <w:bCs/>
          <w:sz w:val="24"/>
          <w:szCs w:val="24"/>
          <w:u w:val="single"/>
          <w:lang w:val="es-ES"/>
        </w:rPr>
        <w:t>6.</w:t>
      </w:r>
      <w:r w:rsidR="00C43B94" w:rsidRPr="003C69AF">
        <w:rPr>
          <w:rFonts w:ascii="Arial" w:hAnsi="Arial" w:cs="Arial"/>
          <w:b/>
          <w:bCs/>
          <w:sz w:val="24"/>
          <w:szCs w:val="24"/>
          <w:u w:val="single"/>
          <w:lang w:val="es-ES"/>
        </w:rPr>
        <w:t xml:space="preserve"> </w:t>
      </w:r>
      <w:r w:rsidR="003E1BF5" w:rsidRPr="003C69AF">
        <w:rPr>
          <w:rFonts w:ascii="Arial" w:hAnsi="Arial" w:cs="Arial"/>
          <w:b/>
          <w:bCs/>
          <w:sz w:val="24"/>
          <w:szCs w:val="24"/>
          <w:u w:val="single"/>
          <w:lang w:val="es-ES"/>
        </w:rPr>
        <w:t xml:space="preserve">Alternativas </w:t>
      </w:r>
      <w:r w:rsidR="00C43B94" w:rsidRPr="003C69AF">
        <w:rPr>
          <w:rFonts w:ascii="Arial" w:hAnsi="Arial" w:cs="Arial"/>
          <w:b/>
          <w:bCs/>
          <w:sz w:val="24"/>
          <w:szCs w:val="24"/>
          <w:u w:val="single"/>
          <w:lang w:val="es-ES"/>
        </w:rPr>
        <w:t>previstas en la ley. La utilización efectiva de los quebrantos</w:t>
      </w:r>
    </w:p>
    <w:p w14:paraId="4AD88EEE" w14:textId="77777777" w:rsidR="00C43B94" w:rsidRPr="00203017" w:rsidRDefault="00C43B94" w:rsidP="00CA60AF">
      <w:pPr>
        <w:jc w:val="both"/>
        <w:rPr>
          <w:rFonts w:ascii="Arial" w:hAnsi="Arial" w:cs="Arial"/>
          <w:sz w:val="24"/>
          <w:szCs w:val="24"/>
          <w:lang w:val="es-ES"/>
        </w:rPr>
      </w:pPr>
    </w:p>
    <w:p w14:paraId="2AB4C3C3" w14:textId="77777777" w:rsidR="00C43B94" w:rsidRDefault="00C43B94" w:rsidP="00CA60AF">
      <w:pPr>
        <w:jc w:val="both"/>
        <w:rPr>
          <w:rFonts w:ascii="Arial" w:hAnsi="Arial" w:cs="Arial"/>
          <w:sz w:val="24"/>
          <w:szCs w:val="24"/>
          <w:lang w:val="es-ES"/>
        </w:rPr>
      </w:pPr>
      <w:r w:rsidRPr="00203017">
        <w:rPr>
          <w:rFonts w:ascii="Arial" w:hAnsi="Arial" w:cs="Arial"/>
          <w:sz w:val="24"/>
          <w:szCs w:val="24"/>
          <w:lang w:val="es-ES"/>
        </w:rPr>
        <w:t xml:space="preserve">El límite temporal de cómputo de los quebrantos impositivos durante los próximos 5 años es relevante para empresas cuyos plazos de puesta en marcha hasta lograr su punto de equilibrio implica más años (entre otros, minería, forestación, grandes emprendimientos industriales, nuevos proyectos tecnológicos). </w:t>
      </w:r>
    </w:p>
    <w:p w14:paraId="2F7E5B37" w14:textId="77777777" w:rsidR="00C43B94" w:rsidRDefault="00C43B94" w:rsidP="00CA60AF">
      <w:pPr>
        <w:jc w:val="both"/>
        <w:rPr>
          <w:rFonts w:ascii="Arial" w:hAnsi="Arial" w:cs="Arial"/>
          <w:sz w:val="24"/>
          <w:szCs w:val="24"/>
          <w:lang w:val="es-ES"/>
        </w:rPr>
      </w:pPr>
    </w:p>
    <w:p w14:paraId="0817C0D5" w14:textId="55CBDAA2" w:rsidR="00C43B94" w:rsidRDefault="00C43B94" w:rsidP="00CA60AF">
      <w:pPr>
        <w:jc w:val="both"/>
        <w:rPr>
          <w:rFonts w:ascii="Arial" w:hAnsi="Arial" w:cs="Arial"/>
          <w:sz w:val="24"/>
          <w:szCs w:val="24"/>
          <w:lang w:val="es-ES"/>
        </w:rPr>
      </w:pPr>
      <w:r w:rsidRPr="00203017">
        <w:rPr>
          <w:rFonts w:ascii="Arial" w:hAnsi="Arial" w:cs="Arial"/>
          <w:sz w:val="24"/>
          <w:szCs w:val="24"/>
          <w:lang w:val="es-ES"/>
        </w:rPr>
        <w:t xml:space="preserve">En términos prácticos según el caso, </w:t>
      </w:r>
      <w:r w:rsidR="00670D8A">
        <w:rPr>
          <w:rFonts w:ascii="Arial" w:hAnsi="Arial" w:cs="Arial"/>
          <w:sz w:val="24"/>
          <w:szCs w:val="24"/>
          <w:lang w:val="es-ES"/>
        </w:rPr>
        <w:t xml:space="preserve">habrá que evaluar </w:t>
      </w:r>
      <w:r w:rsidRPr="00203017">
        <w:rPr>
          <w:rFonts w:ascii="Arial" w:hAnsi="Arial" w:cs="Arial"/>
          <w:sz w:val="24"/>
          <w:szCs w:val="24"/>
          <w:lang w:val="es-ES"/>
        </w:rPr>
        <w:t xml:space="preserve">el impacto de pérdidas </w:t>
      </w:r>
      <w:r w:rsidR="00670D8A">
        <w:rPr>
          <w:rFonts w:ascii="Arial" w:hAnsi="Arial" w:cs="Arial"/>
          <w:sz w:val="24"/>
          <w:szCs w:val="24"/>
          <w:lang w:val="es-ES"/>
        </w:rPr>
        <w:t>según su</w:t>
      </w:r>
      <w:r w:rsidRPr="00203017">
        <w:rPr>
          <w:rFonts w:ascii="Arial" w:hAnsi="Arial" w:cs="Arial"/>
          <w:sz w:val="24"/>
          <w:szCs w:val="24"/>
          <w:lang w:val="es-ES"/>
        </w:rPr>
        <w:t xml:space="preserve"> plazo temporal o en su caso los niveles de rentabilidad para poder computar quebrantos</w:t>
      </w:r>
      <w:r w:rsidR="00670D8A">
        <w:rPr>
          <w:rFonts w:ascii="Arial" w:hAnsi="Arial" w:cs="Arial"/>
          <w:sz w:val="24"/>
          <w:szCs w:val="24"/>
          <w:lang w:val="es-ES"/>
        </w:rPr>
        <w:t>. L</w:t>
      </w:r>
      <w:r w:rsidRPr="00203017">
        <w:rPr>
          <w:rFonts w:ascii="Arial" w:hAnsi="Arial" w:cs="Arial"/>
          <w:sz w:val="24"/>
          <w:szCs w:val="24"/>
          <w:lang w:val="es-ES"/>
        </w:rPr>
        <w:t xml:space="preserve">a opción de venta y reemplazo de bienes de uso  </w:t>
      </w:r>
      <w:r w:rsidR="00670D8A">
        <w:rPr>
          <w:rFonts w:ascii="Arial" w:hAnsi="Arial" w:cs="Arial"/>
          <w:sz w:val="24"/>
          <w:szCs w:val="24"/>
          <w:lang w:val="es-ES"/>
        </w:rPr>
        <w:t xml:space="preserve">debería ser evaluada </w:t>
      </w:r>
      <w:r w:rsidRPr="00203017">
        <w:rPr>
          <w:rFonts w:ascii="Arial" w:hAnsi="Arial" w:cs="Arial"/>
          <w:sz w:val="24"/>
          <w:szCs w:val="24"/>
          <w:lang w:val="es-ES"/>
        </w:rPr>
        <w:t xml:space="preserve">cuando el </w:t>
      </w:r>
      <w:r w:rsidR="00670D8A">
        <w:rPr>
          <w:rFonts w:ascii="Arial" w:hAnsi="Arial" w:cs="Arial"/>
          <w:sz w:val="24"/>
          <w:szCs w:val="24"/>
          <w:lang w:val="es-ES"/>
        </w:rPr>
        <w:t>contribuyente</w:t>
      </w:r>
      <w:r w:rsidR="00670D8A" w:rsidRPr="00203017">
        <w:rPr>
          <w:rFonts w:ascii="Arial" w:hAnsi="Arial" w:cs="Arial"/>
          <w:sz w:val="24"/>
          <w:szCs w:val="24"/>
          <w:lang w:val="es-ES"/>
        </w:rPr>
        <w:t xml:space="preserve"> </w:t>
      </w:r>
      <w:r w:rsidRPr="00203017">
        <w:rPr>
          <w:rFonts w:ascii="Arial" w:hAnsi="Arial" w:cs="Arial"/>
          <w:sz w:val="24"/>
          <w:szCs w:val="24"/>
          <w:lang w:val="es-ES"/>
        </w:rPr>
        <w:t xml:space="preserve">tiene un año fiscal con quebranto fiscal o con riesgo de expirar su plazo de utilización. </w:t>
      </w:r>
    </w:p>
    <w:p w14:paraId="3CDB0DA1" w14:textId="77777777" w:rsidR="00C43B94" w:rsidRDefault="00C43B94" w:rsidP="00CA60AF">
      <w:pPr>
        <w:jc w:val="both"/>
        <w:rPr>
          <w:rFonts w:ascii="Arial" w:hAnsi="Arial" w:cs="Arial"/>
          <w:sz w:val="24"/>
          <w:szCs w:val="24"/>
          <w:lang w:val="es-ES"/>
        </w:rPr>
      </w:pPr>
    </w:p>
    <w:p w14:paraId="3A2D3099" w14:textId="3925CF77" w:rsidR="00D275E1" w:rsidRPr="007B1B05" w:rsidRDefault="00C43B94" w:rsidP="00D275E1">
      <w:pPr>
        <w:jc w:val="both"/>
        <w:rPr>
          <w:rFonts w:ascii="Arial" w:hAnsi="Arial" w:cs="Arial"/>
          <w:sz w:val="24"/>
          <w:szCs w:val="24"/>
        </w:rPr>
      </w:pPr>
      <w:r w:rsidRPr="00203017">
        <w:rPr>
          <w:rFonts w:ascii="Arial" w:hAnsi="Arial" w:cs="Arial"/>
          <w:sz w:val="24"/>
          <w:szCs w:val="24"/>
          <w:lang w:val="es-ES"/>
        </w:rPr>
        <w:t>En la misma línea</w:t>
      </w:r>
      <w:r w:rsidR="00670D8A">
        <w:rPr>
          <w:rFonts w:ascii="Arial" w:hAnsi="Arial" w:cs="Arial"/>
          <w:sz w:val="24"/>
          <w:szCs w:val="24"/>
          <w:lang w:val="es-ES"/>
        </w:rPr>
        <w:t xml:space="preserve">, la LIG establece que normas que establecen distintos criterios de imputación de los gastos y quebrantos como los originados por </w:t>
      </w:r>
      <w:r>
        <w:rPr>
          <w:rFonts w:ascii="Arial" w:hAnsi="Arial" w:cs="Arial"/>
          <w:sz w:val="24"/>
          <w:szCs w:val="24"/>
          <w:lang w:val="es-ES"/>
        </w:rPr>
        <w:t>l</w:t>
      </w:r>
      <w:r w:rsidRPr="00203017">
        <w:rPr>
          <w:rFonts w:ascii="Arial" w:hAnsi="Arial" w:cs="Arial"/>
          <w:sz w:val="24"/>
          <w:szCs w:val="24"/>
          <w:lang w:val="es-ES"/>
        </w:rPr>
        <w:t xml:space="preserve">os pagos en favor de empresas vinculadas del exterior (art. </w:t>
      </w:r>
      <w:r>
        <w:rPr>
          <w:rFonts w:ascii="Arial" w:hAnsi="Arial" w:cs="Arial"/>
          <w:sz w:val="24"/>
          <w:szCs w:val="24"/>
          <w:lang w:val="es-ES"/>
        </w:rPr>
        <w:t>24</w:t>
      </w:r>
      <w:r w:rsidRPr="00203017">
        <w:rPr>
          <w:rFonts w:ascii="Arial" w:hAnsi="Arial" w:cs="Arial"/>
          <w:sz w:val="24"/>
          <w:szCs w:val="24"/>
          <w:lang w:val="es-ES"/>
        </w:rPr>
        <w:t xml:space="preserve"> último párrafo) o la aplicación </w:t>
      </w:r>
      <w:r w:rsidRPr="00203017">
        <w:rPr>
          <w:rFonts w:ascii="Arial" w:hAnsi="Arial" w:cs="Arial"/>
          <w:sz w:val="24"/>
          <w:szCs w:val="24"/>
          <w:lang w:val="es-ES"/>
        </w:rPr>
        <w:lastRenderedPageBreak/>
        <w:t>del devengado-exigible (art</w:t>
      </w:r>
      <w:r>
        <w:rPr>
          <w:rFonts w:ascii="Arial" w:hAnsi="Arial" w:cs="Arial"/>
          <w:sz w:val="24"/>
          <w:szCs w:val="24"/>
          <w:lang w:val="es-ES"/>
        </w:rPr>
        <w:t>.24</w:t>
      </w:r>
      <w:r w:rsidRPr="00203017">
        <w:rPr>
          <w:rFonts w:ascii="Arial" w:hAnsi="Arial" w:cs="Arial"/>
          <w:sz w:val="24"/>
          <w:szCs w:val="24"/>
          <w:lang w:val="es-ES"/>
        </w:rPr>
        <w:t>), deducción de gastos de organización en forma directa o en hasta 5 años</w:t>
      </w:r>
      <w:r>
        <w:rPr>
          <w:rFonts w:ascii="Arial" w:hAnsi="Arial" w:cs="Arial"/>
          <w:sz w:val="24"/>
          <w:szCs w:val="24"/>
          <w:lang w:val="es-ES"/>
        </w:rPr>
        <w:t xml:space="preserve"> (art. 91 </w:t>
      </w:r>
      <w:r w:rsidR="00592C47">
        <w:rPr>
          <w:rFonts w:ascii="Arial" w:hAnsi="Arial" w:cs="Arial"/>
          <w:sz w:val="24"/>
          <w:szCs w:val="24"/>
          <w:lang w:val="es-ES"/>
        </w:rPr>
        <w:t>inc. c</w:t>
      </w:r>
      <w:r>
        <w:rPr>
          <w:rFonts w:ascii="Arial" w:hAnsi="Arial" w:cs="Arial"/>
          <w:sz w:val="24"/>
          <w:szCs w:val="24"/>
          <w:lang w:val="es-ES"/>
        </w:rPr>
        <w:t>)</w:t>
      </w:r>
      <w:r w:rsidRPr="00203017">
        <w:rPr>
          <w:rFonts w:ascii="Arial" w:hAnsi="Arial" w:cs="Arial"/>
          <w:sz w:val="24"/>
          <w:szCs w:val="24"/>
          <w:lang w:val="es-ES"/>
        </w:rPr>
        <w:t xml:space="preserve">, </w:t>
      </w:r>
      <w:r>
        <w:rPr>
          <w:rFonts w:ascii="Arial" w:hAnsi="Arial" w:cs="Arial"/>
          <w:sz w:val="24"/>
          <w:szCs w:val="24"/>
          <w:lang w:val="es-ES"/>
        </w:rPr>
        <w:t>y similares.</w:t>
      </w:r>
      <w:r w:rsidR="005E4A2A" w:rsidRPr="005E4A2A">
        <w:t xml:space="preserve"> </w:t>
      </w:r>
      <w:r w:rsidR="00F441A9" w:rsidRPr="008512A2">
        <w:rPr>
          <w:rFonts w:ascii="Arial" w:hAnsi="Arial" w:cs="Arial"/>
          <w:sz w:val="24"/>
          <w:szCs w:val="24"/>
        </w:rPr>
        <w:t xml:space="preserve">Perjuicios del sistema de </w:t>
      </w:r>
      <w:r w:rsidR="003C02AB" w:rsidRPr="008512A2">
        <w:rPr>
          <w:rFonts w:ascii="Arial" w:hAnsi="Arial" w:cs="Arial"/>
          <w:sz w:val="24"/>
          <w:szCs w:val="24"/>
        </w:rPr>
        <w:t>cómputo</w:t>
      </w:r>
      <w:r w:rsidR="00F441A9" w:rsidRPr="008512A2">
        <w:rPr>
          <w:rFonts w:ascii="Arial" w:hAnsi="Arial" w:cs="Arial"/>
          <w:sz w:val="24"/>
          <w:szCs w:val="24"/>
        </w:rPr>
        <w:t xml:space="preserve"> </w:t>
      </w:r>
      <w:r w:rsidR="00B23726" w:rsidRPr="008512A2">
        <w:rPr>
          <w:rFonts w:ascii="Arial" w:hAnsi="Arial" w:cs="Arial"/>
          <w:sz w:val="24"/>
          <w:szCs w:val="24"/>
        </w:rPr>
        <w:t>en cinco años</w:t>
      </w:r>
      <w:r w:rsidR="00F441A9" w:rsidRPr="008512A2">
        <w:rPr>
          <w:rFonts w:ascii="Arial" w:hAnsi="Arial" w:cs="Arial"/>
          <w:sz w:val="24"/>
          <w:szCs w:val="24"/>
        </w:rPr>
        <w:t xml:space="preserve">, que fácilmente se resuelve si el plazo de compensación fuera sin </w:t>
      </w:r>
      <w:r w:rsidR="003C02AB" w:rsidRPr="008512A2">
        <w:rPr>
          <w:rFonts w:ascii="Arial" w:hAnsi="Arial" w:cs="Arial"/>
          <w:sz w:val="24"/>
          <w:szCs w:val="24"/>
        </w:rPr>
        <w:t>límite</w:t>
      </w:r>
      <w:r w:rsidR="00F441A9" w:rsidRPr="008512A2">
        <w:rPr>
          <w:rFonts w:ascii="Arial" w:hAnsi="Arial" w:cs="Arial"/>
          <w:sz w:val="24"/>
          <w:szCs w:val="24"/>
        </w:rPr>
        <w:t xml:space="preserve"> de plazo temporal, como en muchos países </w:t>
      </w:r>
      <w:r w:rsidR="003C02AB" w:rsidRPr="008512A2">
        <w:rPr>
          <w:rFonts w:ascii="Arial" w:hAnsi="Arial" w:cs="Arial"/>
          <w:sz w:val="24"/>
          <w:szCs w:val="24"/>
        </w:rPr>
        <w:t>comparables, aunque con un tope en el cómputo</w:t>
      </w:r>
      <w:r w:rsidR="00F441A9" w:rsidRPr="008512A2">
        <w:rPr>
          <w:rFonts w:ascii="Arial" w:hAnsi="Arial" w:cs="Arial"/>
          <w:sz w:val="24"/>
          <w:szCs w:val="24"/>
        </w:rPr>
        <w:t>.</w:t>
      </w:r>
    </w:p>
    <w:p w14:paraId="21DE6CE8" w14:textId="77777777" w:rsidR="00D275E1" w:rsidRDefault="00D275E1" w:rsidP="00D275E1">
      <w:pPr>
        <w:jc w:val="both"/>
      </w:pPr>
    </w:p>
    <w:p w14:paraId="7152E1E6" w14:textId="02798D23" w:rsidR="00D275E1" w:rsidRPr="003C5118" w:rsidRDefault="00897507" w:rsidP="00D275E1">
      <w:pPr>
        <w:jc w:val="both"/>
        <w:rPr>
          <w:rFonts w:ascii="Arial" w:hAnsi="Arial" w:cs="Arial"/>
          <w:sz w:val="24"/>
          <w:szCs w:val="24"/>
        </w:rPr>
      </w:pPr>
      <w:r>
        <w:rPr>
          <w:rFonts w:ascii="Arial" w:hAnsi="Arial" w:cs="Arial"/>
          <w:sz w:val="24"/>
          <w:szCs w:val="24"/>
        </w:rPr>
        <w:t>6</w:t>
      </w:r>
      <w:r w:rsidR="00D275E1">
        <w:rPr>
          <w:rFonts w:ascii="Arial" w:hAnsi="Arial" w:cs="Arial"/>
          <w:sz w:val="24"/>
          <w:szCs w:val="24"/>
        </w:rPr>
        <w:t xml:space="preserve">.1. </w:t>
      </w:r>
      <w:r w:rsidR="00D275E1" w:rsidRPr="003E1ED3">
        <w:rPr>
          <w:rFonts w:ascii="Arial" w:hAnsi="Arial" w:cs="Arial"/>
          <w:sz w:val="24"/>
          <w:szCs w:val="24"/>
          <w:u w:val="single"/>
        </w:rPr>
        <w:t>Los gastos de organización</w:t>
      </w:r>
    </w:p>
    <w:p w14:paraId="13B12DF1" w14:textId="77777777" w:rsidR="00D275E1" w:rsidRPr="003C5118" w:rsidRDefault="00D275E1" w:rsidP="00D275E1">
      <w:pPr>
        <w:jc w:val="both"/>
        <w:rPr>
          <w:rFonts w:ascii="Arial" w:hAnsi="Arial" w:cs="Arial"/>
          <w:sz w:val="24"/>
          <w:szCs w:val="24"/>
        </w:rPr>
      </w:pPr>
    </w:p>
    <w:p w14:paraId="56B9AB8B" w14:textId="7A94E13E" w:rsidR="00D275E1" w:rsidRDefault="00D275E1" w:rsidP="00D275E1">
      <w:pPr>
        <w:jc w:val="both"/>
        <w:rPr>
          <w:rFonts w:ascii="Arial" w:hAnsi="Arial" w:cs="Arial"/>
          <w:sz w:val="24"/>
          <w:szCs w:val="24"/>
        </w:rPr>
      </w:pPr>
      <w:r w:rsidRPr="003C5118">
        <w:rPr>
          <w:rFonts w:ascii="Arial" w:hAnsi="Arial" w:cs="Arial"/>
          <w:sz w:val="24"/>
          <w:szCs w:val="24"/>
        </w:rPr>
        <w:t xml:space="preserve">En emprendimientos en donde el tiempo hasta </w:t>
      </w:r>
      <w:r>
        <w:rPr>
          <w:rFonts w:ascii="Arial" w:hAnsi="Arial" w:cs="Arial"/>
          <w:sz w:val="24"/>
          <w:szCs w:val="24"/>
        </w:rPr>
        <w:t xml:space="preserve">su puesta </w:t>
      </w:r>
      <w:r w:rsidRPr="003C5118">
        <w:rPr>
          <w:rFonts w:ascii="Arial" w:hAnsi="Arial" w:cs="Arial"/>
          <w:sz w:val="24"/>
          <w:szCs w:val="24"/>
        </w:rPr>
        <w:t xml:space="preserve">en marcha y </w:t>
      </w:r>
      <w:r>
        <w:rPr>
          <w:rFonts w:ascii="Arial" w:hAnsi="Arial" w:cs="Arial"/>
          <w:sz w:val="24"/>
          <w:szCs w:val="24"/>
        </w:rPr>
        <w:t>generen</w:t>
      </w:r>
      <w:r w:rsidRPr="003C5118">
        <w:rPr>
          <w:rFonts w:ascii="Arial" w:hAnsi="Arial" w:cs="Arial"/>
          <w:sz w:val="24"/>
          <w:szCs w:val="24"/>
        </w:rPr>
        <w:t xml:space="preserve"> utilidades que permitan recuperar los </w:t>
      </w:r>
      <w:r>
        <w:rPr>
          <w:rFonts w:ascii="Arial" w:hAnsi="Arial" w:cs="Arial"/>
          <w:sz w:val="24"/>
          <w:szCs w:val="24"/>
        </w:rPr>
        <w:t xml:space="preserve">quebrantos basados en </w:t>
      </w:r>
      <w:r w:rsidRPr="003C5118">
        <w:rPr>
          <w:rFonts w:ascii="Arial" w:hAnsi="Arial" w:cs="Arial"/>
          <w:sz w:val="24"/>
          <w:szCs w:val="24"/>
        </w:rPr>
        <w:t>gastos de organización, la LIG nos da una opció</w:t>
      </w:r>
      <w:r w:rsidR="00F441A9">
        <w:rPr>
          <w:rFonts w:ascii="Arial" w:hAnsi="Arial" w:cs="Arial"/>
          <w:sz w:val="24"/>
          <w:szCs w:val="24"/>
        </w:rPr>
        <w:t xml:space="preserve">n que permite mejorar las chances de compensación frente al plazo de compensación de 5 años de los quebrantos. </w:t>
      </w:r>
    </w:p>
    <w:p w14:paraId="396C1422" w14:textId="77777777" w:rsidR="00D275E1" w:rsidRDefault="00D275E1" w:rsidP="00D275E1">
      <w:pPr>
        <w:jc w:val="both"/>
        <w:rPr>
          <w:rFonts w:ascii="Arial" w:hAnsi="Arial" w:cs="Arial"/>
          <w:sz w:val="24"/>
          <w:szCs w:val="24"/>
        </w:rPr>
      </w:pPr>
    </w:p>
    <w:p w14:paraId="0F3C33EC" w14:textId="6D61EE21" w:rsidR="00D275E1" w:rsidRPr="003C5118" w:rsidRDefault="00D275E1" w:rsidP="00D275E1">
      <w:pPr>
        <w:jc w:val="both"/>
        <w:rPr>
          <w:rFonts w:ascii="Arial" w:hAnsi="Arial" w:cs="Arial"/>
          <w:sz w:val="24"/>
          <w:szCs w:val="24"/>
        </w:rPr>
      </w:pPr>
      <w:r w:rsidRPr="003C5118">
        <w:rPr>
          <w:rFonts w:ascii="Arial" w:hAnsi="Arial" w:cs="Arial"/>
          <w:sz w:val="24"/>
          <w:szCs w:val="24"/>
        </w:rPr>
        <w:t xml:space="preserve">Por las características de los gastos involucrados, merecen un </w:t>
      </w:r>
      <w:r>
        <w:rPr>
          <w:rFonts w:ascii="Arial" w:hAnsi="Arial" w:cs="Arial"/>
          <w:sz w:val="24"/>
          <w:szCs w:val="24"/>
        </w:rPr>
        <w:t xml:space="preserve">cuidadoso </w:t>
      </w:r>
      <w:r w:rsidRPr="003C5118">
        <w:rPr>
          <w:rFonts w:ascii="Arial" w:hAnsi="Arial" w:cs="Arial"/>
          <w:sz w:val="24"/>
          <w:szCs w:val="24"/>
        </w:rPr>
        <w:t xml:space="preserve">análisis, pues en ciertos casos se confunden con otras erogaciones que deben seguir otras pautas de activación (v.g.: costos de instalación de bienes de uso, o construcción de la planta industrial, costos de desarrollo de marcas, </w:t>
      </w:r>
      <w:r w:rsidR="003C5118" w:rsidRPr="003C5118">
        <w:rPr>
          <w:rFonts w:ascii="Arial" w:hAnsi="Arial" w:cs="Arial"/>
          <w:sz w:val="24"/>
          <w:szCs w:val="24"/>
        </w:rPr>
        <w:t>o desarrollos</w:t>
      </w:r>
      <w:r w:rsidRPr="003C5118">
        <w:rPr>
          <w:rFonts w:ascii="Arial" w:hAnsi="Arial" w:cs="Arial"/>
          <w:sz w:val="24"/>
          <w:szCs w:val="24"/>
        </w:rPr>
        <w:t xml:space="preserve"> técnicos, etc.) y que tienen su propia forma de depreciación o imputación a resultados.</w:t>
      </w:r>
    </w:p>
    <w:p w14:paraId="13A08F26" w14:textId="77777777" w:rsidR="00D275E1" w:rsidRPr="003C5118" w:rsidRDefault="00D275E1" w:rsidP="00D275E1">
      <w:pPr>
        <w:jc w:val="both"/>
        <w:rPr>
          <w:rFonts w:ascii="Arial" w:hAnsi="Arial" w:cs="Arial"/>
          <w:sz w:val="24"/>
          <w:szCs w:val="24"/>
        </w:rPr>
      </w:pPr>
    </w:p>
    <w:p w14:paraId="11A050F1" w14:textId="1311A00F" w:rsidR="00D275E1" w:rsidRPr="003C5118" w:rsidRDefault="00D275E1" w:rsidP="00D275E1">
      <w:pPr>
        <w:jc w:val="both"/>
        <w:rPr>
          <w:rFonts w:ascii="Arial" w:hAnsi="Arial" w:cs="Arial"/>
          <w:sz w:val="24"/>
          <w:szCs w:val="24"/>
        </w:rPr>
      </w:pPr>
      <w:r w:rsidRPr="003C5118">
        <w:rPr>
          <w:rFonts w:ascii="Arial" w:hAnsi="Arial" w:cs="Arial"/>
          <w:sz w:val="24"/>
          <w:szCs w:val="24"/>
        </w:rPr>
        <w:t xml:space="preserve">La definición de los gastos de organización, que entendemos cubre los denominados gastos preoperativos correctamente definidos, y ante la falta de una reglamentación específica, </w:t>
      </w:r>
      <w:r>
        <w:rPr>
          <w:rFonts w:ascii="Arial" w:hAnsi="Arial" w:cs="Arial"/>
          <w:sz w:val="24"/>
          <w:szCs w:val="24"/>
        </w:rPr>
        <w:t xml:space="preserve">entendemos puede </w:t>
      </w:r>
      <w:r w:rsidRPr="003C5118">
        <w:rPr>
          <w:rFonts w:ascii="Arial" w:hAnsi="Arial" w:cs="Arial"/>
          <w:sz w:val="24"/>
          <w:szCs w:val="24"/>
        </w:rPr>
        <w:t xml:space="preserve">ser interpretada en base a la normativa contable. En tal sentido, la Resolución Técnica FACPCE N° 17 Normas Contables Profesionales: Desarrollo de Cuestiones de Aplicación General en el apartado 5.13 Otros activos intangibles, nos </w:t>
      </w:r>
      <w:r>
        <w:rPr>
          <w:rFonts w:ascii="Arial" w:hAnsi="Arial" w:cs="Arial"/>
          <w:sz w:val="24"/>
          <w:szCs w:val="24"/>
        </w:rPr>
        <w:t>otorga</w:t>
      </w:r>
      <w:r w:rsidRPr="003C5118">
        <w:rPr>
          <w:rFonts w:ascii="Arial" w:hAnsi="Arial" w:cs="Arial"/>
          <w:sz w:val="24"/>
          <w:szCs w:val="24"/>
        </w:rPr>
        <w:t xml:space="preserve"> un excelente marco de referencia para su reconocimiento, su posterior amortización (la fecha de comienzo de su utilización o la que evidencie su pérdida de valor, que es el momento a partir del cual deben computarse depreciaciones), y vida útil (a los fines del cálculo de las depreciaciones, se presume sin admitir prueba en contrario que la vida económica de los costos de organización y costos preoperativos no es superior a los cinco años) coincidente con el parámetro previsto en la ley del impuesto a las ganancias.</w:t>
      </w:r>
      <w:r w:rsidR="00542BD1" w:rsidRPr="003C5118">
        <w:rPr>
          <w:rFonts w:ascii="Arial" w:hAnsi="Arial" w:cs="Arial"/>
          <w:sz w:val="24"/>
          <w:szCs w:val="24"/>
        </w:rPr>
        <w:t xml:space="preserve"> En cuanto a momento de su deducción o depreciación tiene relevancia el momento en que le sujeto tiene ingresos previstos que dan sustento a la deducción, en una razonable correlación entre costos e ingresos.</w:t>
      </w:r>
      <w:r w:rsidRPr="003C5118">
        <w:rPr>
          <w:rFonts w:ascii="Arial" w:hAnsi="Arial" w:cs="Arial"/>
          <w:sz w:val="24"/>
          <w:szCs w:val="24"/>
        </w:rPr>
        <w:t xml:space="preserve"> </w:t>
      </w:r>
    </w:p>
    <w:p w14:paraId="4E4DE080" w14:textId="77777777" w:rsidR="00D275E1" w:rsidRPr="003C5118" w:rsidRDefault="00D275E1" w:rsidP="00D275E1">
      <w:pPr>
        <w:jc w:val="both"/>
        <w:rPr>
          <w:rFonts w:ascii="Arial" w:hAnsi="Arial" w:cs="Arial"/>
          <w:sz w:val="24"/>
          <w:szCs w:val="24"/>
        </w:rPr>
      </w:pPr>
    </w:p>
    <w:p w14:paraId="1CAA7C1F" w14:textId="3F50BE98" w:rsidR="00D275E1" w:rsidRPr="003C5118" w:rsidRDefault="00D275E1" w:rsidP="00D275E1">
      <w:pPr>
        <w:jc w:val="both"/>
        <w:rPr>
          <w:rFonts w:ascii="Arial" w:hAnsi="Arial" w:cs="Arial"/>
          <w:sz w:val="24"/>
          <w:szCs w:val="24"/>
        </w:rPr>
      </w:pPr>
      <w:r w:rsidRPr="003C5118">
        <w:rPr>
          <w:rFonts w:ascii="Arial" w:hAnsi="Arial" w:cs="Arial"/>
          <w:sz w:val="24"/>
          <w:szCs w:val="24"/>
        </w:rPr>
        <w:t>El alcance de estos gastos de organización junto con los gastos pre</w:t>
      </w:r>
      <w:r w:rsidR="008512A2">
        <w:rPr>
          <w:rFonts w:ascii="Arial" w:hAnsi="Arial" w:cs="Arial"/>
          <w:sz w:val="24"/>
          <w:szCs w:val="24"/>
        </w:rPr>
        <w:t>-</w:t>
      </w:r>
      <w:r w:rsidRPr="003C5118">
        <w:rPr>
          <w:rFonts w:ascii="Arial" w:hAnsi="Arial" w:cs="Arial"/>
          <w:sz w:val="24"/>
          <w:szCs w:val="24"/>
        </w:rPr>
        <w:t xml:space="preserve">operativos, ha sido motivo de discusión en contribuyentes que optaron en deducir el total en el ejercicio y el fisco entendió que los mismos eran imputables a otros conceptos, como costo de bienes de uso (amortizables), o desarrollo de marcas o llave (no deducibles).  </w:t>
      </w:r>
    </w:p>
    <w:p w14:paraId="53688122" w14:textId="77777777" w:rsidR="00D275E1" w:rsidRPr="003C5118" w:rsidRDefault="00D275E1" w:rsidP="00D275E1">
      <w:pPr>
        <w:jc w:val="both"/>
        <w:rPr>
          <w:rFonts w:ascii="Arial" w:hAnsi="Arial" w:cs="Arial"/>
          <w:sz w:val="24"/>
          <w:szCs w:val="24"/>
        </w:rPr>
      </w:pPr>
    </w:p>
    <w:p w14:paraId="6B2EE751" w14:textId="57304359" w:rsidR="00D275E1" w:rsidRPr="003C5118" w:rsidRDefault="00D275E1" w:rsidP="00D275E1">
      <w:pPr>
        <w:jc w:val="both"/>
        <w:rPr>
          <w:rFonts w:ascii="Arial" w:hAnsi="Arial" w:cs="Arial"/>
          <w:sz w:val="24"/>
          <w:szCs w:val="24"/>
        </w:rPr>
      </w:pPr>
      <w:r w:rsidRPr="003C5118">
        <w:rPr>
          <w:rFonts w:ascii="Arial" w:hAnsi="Arial" w:cs="Arial"/>
          <w:sz w:val="24"/>
          <w:szCs w:val="24"/>
        </w:rPr>
        <w:t>La afectación de los gastos de organización en el ejercicio o su imputación en hasta 5 años es una opción que tiene el contribuyente, según la LIG, y que deberá analizar la realidad económico-operativa del contribuyente</w:t>
      </w:r>
      <w:r>
        <w:rPr>
          <w:rFonts w:ascii="Arial" w:hAnsi="Arial" w:cs="Arial"/>
          <w:sz w:val="24"/>
          <w:szCs w:val="24"/>
        </w:rPr>
        <w:t xml:space="preserve"> en correlación con una utilización futura y eficiente de los quebrantos</w:t>
      </w:r>
      <w:r w:rsidRPr="003C5118">
        <w:rPr>
          <w:rFonts w:ascii="Arial" w:hAnsi="Arial" w:cs="Arial"/>
          <w:sz w:val="24"/>
          <w:szCs w:val="24"/>
        </w:rPr>
        <w:t>.</w:t>
      </w:r>
    </w:p>
    <w:p w14:paraId="016CF2D5" w14:textId="77777777" w:rsidR="00D275E1" w:rsidRPr="003C5118" w:rsidRDefault="00D275E1" w:rsidP="00D275E1">
      <w:pPr>
        <w:jc w:val="both"/>
        <w:rPr>
          <w:rFonts w:ascii="Arial" w:hAnsi="Arial" w:cs="Arial"/>
          <w:sz w:val="24"/>
          <w:szCs w:val="24"/>
        </w:rPr>
      </w:pPr>
    </w:p>
    <w:p w14:paraId="4BAC9824" w14:textId="58B3D3ED" w:rsidR="00D275E1" w:rsidRPr="003C5118" w:rsidRDefault="00D275E1" w:rsidP="00D275E1">
      <w:pPr>
        <w:jc w:val="both"/>
        <w:rPr>
          <w:rFonts w:ascii="Arial" w:hAnsi="Arial" w:cs="Arial"/>
          <w:sz w:val="24"/>
          <w:szCs w:val="24"/>
        </w:rPr>
      </w:pPr>
      <w:r w:rsidRPr="003C5118">
        <w:rPr>
          <w:rFonts w:ascii="Arial" w:hAnsi="Arial" w:cs="Arial"/>
          <w:sz w:val="24"/>
          <w:szCs w:val="24"/>
        </w:rPr>
        <w:t xml:space="preserve">En </w:t>
      </w:r>
      <w:r>
        <w:rPr>
          <w:rFonts w:ascii="Arial" w:hAnsi="Arial" w:cs="Arial"/>
          <w:sz w:val="24"/>
          <w:szCs w:val="24"/>
        </w:rPr>
        <w:t>el caso, el diferim</w:t>
      </w:r>
      <w:r w:rsidR="0057507E">
        <w:rPr>
          <w:rFonts w:ascii="Arial" w:hAnsi="Arial" w:cs="Arial"/>
          <w:sz w:val="24"/>
          <w:szCs w:val="24"/>
        </w:rPr>
        <w:t xml:space="preserve">iento </w:t>
      </w:r>
      <w:r w:rsidRPr="003C5118">
        <w:rPr>
          <w:rFonts w:ascii="Arial" w:hAnsi="Arial" w:cs="Arial"/>
          <w:sz w:val="24"/>
          <w:szCs w:val="24"/>
        </w:rPr>
        <w:t xml:space="preserve">de imputación no </w:t>
      </w:r>
      <w:r w:rsidR="0057507E">
        <w:rPr>
          <w:rFonts w:ascii="Arial" w:hAnsi="Arial" w:cs="Arial"/>
          <w:sz w:val="24"/>
          <w:szCs w:val="24"/>
        </w:rPr>
        <w:t>tiene</w:t>
      </w:r>
      <w:r w:rsidRPr="003C5118">
        <w:rPr>
          <w:rFonts w:ascii="Arial" w:hAnsi="Arial" w:cs="Arial"/>
          <w:sz w:val="24"/>
          <w:szCs w:val="24"/>
        </w:rPr>
        <w:t xml:space="preserve"> prevista en forma expresa la actualización. Su actualización estaría disponible en forma parcial e indirecta en </w:t>
      </w:r>
      <w:r w:rsidRPr="003C5118">
        <w:rPr>
          <w:rFonts w:ascii="Arial" w:hAnsi="Arial" w:cs="Arial"/>
          <w:sz w:val="24"/>
          <w:szCs w:val="24"/>
        </w:rPr>
        <w:lastRenderedPageBreak/>
        <w:t>tanto la parte no amortizada o deducida se incluya como activo computable expuesto dentro del procedimiento de cálculo del ajuste por inflación previsto en el art. 106 (se excluye la parte deducida -art.106 inc.</w:t>
      </w:r>
      <w:r w:rsidR="0057507E">
        <w:rPr>
          <w:rFonts w:ascii="Arial" w:hAnsi="Arial" w:cs="Arial"/>
          <w:sz w:val="24"/>
          <w:szCs w:val="24"/>
        </w:rPr>
        <w:t xml:space="preserve"> </w:t>
      </w:r>
      <w:r w:rsidRPr="003C5118">
        <w:rPr>
          <w:rFonts w:ascii="Arial" w:hAnsi="Arial" w:cs="Arial"/>
          <w:sz w:val="24"/>
          <w:szCs w:val="24"/>
        </w:rPr>
        <w:t>a .15</w:t>
      </w:r>
      <w:r w:rsidR="0057507E">
        <w:rPr>
          <w:rFonts w:ascii="Arial" w:hAnsi="Arial" w:cs="Arial"/>
          <w:sz w:val="24"/>
          <w:szCs w:val="24"/>
        </w:rPr>
        <w:t>-</w:t>
      </w:r>
      <w:r w:rsidRPr="003C5118">
        <w:rPr>
          <w:rFonts w:ascii="Arial" w:hAnsi="Arial" w:cs="Arial"/>
          <w:sz w:val="24"/>
          <w:szCs w:val="24"/>
        </w:rPr>
        <w:t xml:space="preserve"> ).  Al respecto, el carácter parcial y eventual de</w:t>
      </w:r>
      <w:r w:rsidR="0057507E">
        <w:rPr>
          <w:rFonts w:ascii="Arial" w:hAnsi="Arial" w:cs="Arial"/>
          <w:sz w:val="24"/>
          <w:szCs w:val="24"/>
        </w:rPr>
        <w:t xml:space="preserve">l </w:t>
      </w:r>
      <w:r w:rsidRPr="003C5118">
        <w:rPr>
          <w:rFonts w:ascii="Arial" w:hAnsi="Arial" w:cs="Arial"/>
          <w:sz w:val="24"/>
          <w:szCs w:val="24"/>
        </w:rPr>
        <w:t xml:space="preserve">ajuste por inflación impositivo, merece las consideraciones ya expuestas en puntos anteriores. La norma del ajuste por inflación, amplia el tema e incluye </w:t>
      </w:r>
      <w:r w:rsidR="0057507E">
        <w:rPr>
          <w:rFonts w:ascii="Arial" w:hAnsi="Arial" w:cs="Arial"/>
          <w:sz w:val="24"/>
          <w:szCs w:val="24"/>
        </w:rPr>
        <w:t xml:space="preserve">como activo computable </w:t>
      </w:r>
      <w:r w:rsidRPr="003C5118">
        <w:rPr>
          <w:rFonts w:ascii="Arial" w:hAnsi="Arial" w:cs="Arial"/>
          <w:sz w:val="24"/>
          <w:szCs w:val="24"/>
        </w:rPr>
        <w:t>a los gastos de constitución y de reorganización.</w:t>
      </w:r>
    </w:p>
    <w:p w14:paraId="375570DA" w14:textId="77777777" w:rsidR="00D275E1" w:rsidRPr="003C5118" w:rsidRDefault="00D275E1" w:rsidP="00D275E1">
      <w:pPr>
        <w:jc w:val="both"/>
        <w:rPr>
          <w:rFonts w:ascii="Arial" w:hAnsi="Arial" w:cs="Arial"/>
          <w:sz w:val="24"/>
          <w:szCs w:val="24"/>
        </w:rPr>
      </w:pPr>
    </w:p>
    <w:p w14:paraId="066FAF94" w14:textId="77777777" w:rsidR="0057507E" w:rsidRDefault="00D275E1" w:rsidP="00D275E1">
      <w:pPr>
        <w:jc w:val="both"/>
        <w:rPr>
          <w:rFonts w:ascii="Arial" w:hAnsi="Arial" w:cs="Arial"/>
          <w:sz w:val="24"/>
          <w:szCs w:val="24"/>
        </w:rPr>
      </w:pPr>
      <w:r w:rsidRPr="003C5118">
        <w:rPr>
          <w:rFonts w:ascii="Arial" w:hAnsi="Arial" w:cs="Arial"/>
          <w:sz w:val="24"/>
          <w:szCs w:val="24"/>
        </w:rPr>
        <w:t xml:space="preserve">Los gastos de organización no deducidos, en definitiva, un quebranto diferido, tienen prevista su traslación a las entidades continuadoras en caso de reorganización libre de impuestos, conforme el articulo 81 inc. 4 y no está sujeto a los requisitos de titularidad del capital previstos en el último párrafo del art. 80, que sólo limitan a los quebrantos del art. 81 inc.1. de la LIG. </w:t>
      </w:r>
    </w:p>
    <w:p w14:paraId="38B4AD0E" w14:textId="77777777" w:rsidR="0057507E" w:rsidRDefault="0057507E" w:rsidP="00D275E1">
      <w:pPr>
        <w:jc w:val="both"/>
        <w:rPr>
          <w:rFonts w:ascii="Arial" w:hAnsi="Arial" w:cs="Arial"/>
          <w:sz w:val="24"/>
          <w:szCs w:val="24"/>
        </w:rPr>
      </w:pPr>
    </w:p>
    <w:p w14:paraId="159162FE" w14:textId="7F993263" w:rsidR="005E4A2A" w:rsidRPr="003C5118" w:rsidRDefault="00D275E1" w:rsidP="00D275E1">
      <w:pPr>
        <w:jc w:val="both"/>
        <w:rPr>
          <w:rFonts w:ascii="Arial" w:hAnsi="Arial" w:cs="Arial"/>
          <w:sz w:val="24"/>
          <w:szCs w:val="24"/>
        </w:rPr>
      </w:pPr>
      <w:r w:rsidRPr="003C5118">
        <w:rPr>
          <w:rFonts w:ascii="Arial" w:hAnsi="Arial" w:cs="Arial"/>
          <w:sz w:val="24"/>
          <w:szCs w:val="24"/>
        </w:rPr>
        <w:t>En definitiva, los gastos de organización y su imputación es un elemento a evaluar según la situación de cada contribuyente</w:t>
      </w:r>
      <w:r w:rsidR="00592C47">
        <w:rPr>
          <w:rStyle w:val="Refdenotaalfinal"/>
          <w:rFonts w:ascii="Arial" w:hAnsi="Arial" w:cs="Arial"/>
          <w:sz w:val="24"/>
          <w:szCs w:val="24"/>
        </w:rPr>
        <w:endnoteReference w:id="25"/>
      </w:r>
      <w:r w:rsidRPr="003C5118">
        <w:rPr>
          <w:rFonts w:ascii="Arial" w:hAnsi="Arial" w:cs="Arial"/>
          <w:sz w:val="24"/>
          <w:szCs w:val="24"/>
        </w:rPr>
        <w:t>.</w:t>
      </w:r>
    </w:p>
    <w:p w14:paraId="55F68EFE" w14:textId="77777777" w:rsidR="00C43B94" w:rsidRPr="00203017" w:rsidRDefault="00C43B94" w:rsidP="00CA60AF">
      <w:pPr>
        <w:jc w:val="both"/>
        <w:rPr>
          <w:rFonts w:ascii="Arial" w:hAnsi="Arial" w:cs="Arial"/>
          <w:sz w:val="24"/>
          <w:szCs w:val="24"/>
          <w:lang w:val="es-ES"/>
        </w:rPr>
      </w:pPr>
    </w:p>
    <w:p w14:paraId="646334F4" w14:textId="0C283097" w:rsidR="0057507E" w:rsidRDefault="00897507" w:rsidP="006245A8">
      <w:pPr>
        <w:jc w:val="both"/>
        <w:rPr>
          <w:rFonts w:ascii="Arial" w:hAnsi="Arial" w:cs="Arial"/>
          <w:sz w:val="24"/>
          <w:szCs w:val="24"/>
          <w:lang w:val="es-ES"/>
        </w:rPr>
      </w:pPr>
      <w:r>
        <w:rPr>
          <w:rFonts w:ascii="Arial" w:hAnsi="Arial" w:cs="Arial"/>
          <w:sz w:val="24"/>
          <w:szCs w:val="24"/>
          <w:lang w:val="es-ES"/>
        </w:rPr>
        <w:t>6.2.</w:t>
      </w:r>
      <w:r w:rsidR="0057507E">
        <w:rPr>
          <w:rFonts w:ascii="Arial" w:hAnsi="Arial" w:cs="Arial"/>
          <w:sz w:val="24"/>
          <w:szCs w:val="24"/>
          <w:lang w:val="es-ES"/>
        </w:rPr>
        <w:t xml:space="preserve"> </w:t>
      </w:r>
      <w:r w:rsidR="0057507E" w:rsidRPr="003E1ED3">
        <w:rPr>
          <w:rFonts w:ascii="Arial" w:hAnsi="Arial" w:cs="Arial"/>
          <w:sz w:val="24"/>
          <w:szCs w:val="24"/>
          <w:u w:val="single"/>
          <w:lang w:val="es-ES"/>
        </w:rPr>
        <w:t>La transferibilidad de los quebrantos</w:t>
      </w:r>
      <w:r w:rsidR="0057507E">
        <w:rPr>
          <w:rFonts w:ascii="Arial" w:hAnsi="Arial" w:cs="Arial"/>
          <w:sz w:val="24"/>
          <w:szCs w:val="24"/>
          <w:lang w:val="es-ES"/>
        </w:rPr>
        <w:t>.</w:t>
      </w:r>
    </w:p>
    <w:p w14:paraId="2F809A8D" w14:textId="77777777" w:rsidR="0057507E" w:rsidRDefault="0057507E" w:rsidP="006245A8">
      <w:pPr>
        <w:jc w:val="both"/>
        <w:rPr>
          <w:rFonts w:ascii="Arial" w:hAnsi="Arial" w:cs="Arial"/>
          <w:sz w:val="24"/>
          <w:szCs w:val="24"/>
          <w:lang w:val="es-ES"/>
        </w:rPr>
      </w:pPr>
    </w:p>
    <w:p w14:paraId="197F483C" w14:textId="7CDCBF29" w:rsidR="0057507E" w:rsidRDefault="00897507" w:rsidP="006245A8">
      <w:pPr>
        <w:jc w:val="both"/>
        <w:rPr>
          <w:rFonts w:ascii="Arial" w:hAnsi="Arial" w:cs="Arial"/>
          <w:sz w:val="24"/>
          <w:szCs w:val="24"/>
          <w:lang w:val="es-ES"/>
        </w:rPr>
      </w:pPr>
      <w:r>
        <w:rPr>
          <w:rFonts w:ascii="Arial" w:hAnsi="Arial" w:cs="Arial"/>
          <w:sz w:val="24"/>
          <w:szCs w:val="24"/>
          <w:lang w:val="es-ES"/>
        </w:rPr>
        <w:t>6.2.1.</w:t>
      </w:r>
      <w:r w:rsidR="0057507E">
        <w:rPr>
          <w:rFonts w:ascii="Arial" w:hAnsi="Arial" w:cs="Arial"/>
          <w:sz w:val="24"/>
          <w:szCs w:val="24"/>
          <w:lang w:val="es-ES"/>
        </w:rPr>
        <w:t xml:space="preserve"> </w:t>
      </w:r>
      <w:r w:rsidR="0057507E" w:rsidRPr="003E1ED3">
        <w:rPr>
          <w:rFonts w:ascii="Arial" w:hAnsi="Arial" w:cs="Arial"/>
          <w:sz w:val="24"/>
          <w:szCs w:val="24"/>
          <w:u w:val="single"/>
          <w:lang w:val="es-ES"/>
        </w:rPr>
        <w:t>Las reorganizaciones empresarias libre de impuestos</w:t>
      </w:r>
      <w:r w:rsidR="0057507E">
        <w:rPr>
          <w:rFonts w:ascii="Arial" w:hAnsi="Arial" w:cs="Arial"/>
          <w:sz w:val="24"/>
          <w:szCs w:val="24"/>
          <w:lang w:val="es-ES"/>
        </w:rPr>
        <w:t>.</w:t>
      </w:r>
    </w:p>
    <w:p w14:paraId="5F89E1C6" w14:textId="77777777" w:rsidR="0057507E" w:rsidRDefault="0057507E" w:rsidP="006245A8">
      <w:pPr>
        <w:jc w:val="both"/>
        <w:rPr>
          <w:rFonts w:ascii="Arial" w:hAnsi="Arial" w:cs="Arial"/>
          <w:sz w:val="24"/>
          <w:szCs w:val="24"/>
          <w:lang w:val="es-ES"/>
        </w:rPr>
      </w:pPr>
    </w:p>
    <w:p w14:paraId="3CEE33CA" w14:textId="4302DA9F" w:rsidR="006245A8" w:rsidRPr="006245A8" w:rsidRDefault="00C43B94" w:rsidP="006245A8">
      <w:pPr>
        <w:jc w:val="both"/>
        <w:rPr>
          <w:rFonts w:ascii="Arial" w:hAnsi="Arial" w:cs="Arial"/>
          <w:sz w:val="24"/>
          <w:szCs w:val="24"/>
          <w:lang w:val="es-ES"/>
        </w:rPr>
      </w:pPr>
      <w:r w:rsidRPr="00203017">
        <w:rPr>
          <w:rFonts w:ascii="Arial" w:hAnsi="Arial" w:cs="Arial"/>
          <w:sz w:val="24"/>
          <w:szCs w:val="24"/>
          <w:lang w:val="es-ES"/>
        </w:rPr>
        <w:t xml:space="preserve">Como </w:t>
      </w:r>
      <w:r>
        <w:rPr>
          <w:rFonts w:ascii="Arial" w:hAnsi="Arial" w:cs="Arial"/>
          <w:sz w:val="24"/>
          <w:szCs w:val="24"/>
          <w:lang w:val="es-ES"/>
        </w:rPr>
        <w:t>mencionamos los quebrantos</w:t>
      </w:r>
      <w:r w:rsidRPr="00203017">
        <w:rPr>
          <w:rFonts w:ascii="Arial" w:hAnsi="Arial" w:cs="Arial"/>
          <w:sz w:val="24"/>
          <w:szCs w:val="24"/>
          <w:lang w:val="es-ES"/>
        </w:rPr>
        <w:t xml:space="preserve"> no son un atributo fiscal transferible, salvo en un proceso de reorganización sujeto a condiciones</w:t>
      </w:r>
      <w:r>
        <w:rPr>
          <w:rFonts w:ascii="Arial" w:hAnsi="Arial" w:cs="Arial"/>
          <w:sz w:val="24"/>
          <w:szCs w:val="24"/>
          <w:lang w:val="es-ES"/>
        </w:rPr>
        <w:t xml:space="preserve"> (art. 80 último párrafo)</w:t>
      </w:r>
      <w:r w:rsidRPr="00203017">
        <w:rPr>
          <w:rFonts w:ascii="Arial" w:hAnsi="Arial" w:cs="Arial"/>
          <w:sz w:val="24"/>
          <w:szCs w:val="24"/>
          <w:lang w:val="es-ES"/>
        </w:rPr>
        <w:t xml:space="preserve">. </w:t>
      </w:r>
      <w:r w:rsidR="006245A8" w:rsidRPr="006245A8">
        <w:rPr>
          <w:rFonts w:ascii="Arial" w:hAnsi="Arial" w:cs="Arial"/>
          <w:sz w:val="24"/>
          <w:szCs w:val="24"/>
          <w:lang w:val="es-ES"/>
        </w:rPr>
        <w:t>Las restricciones de traslado de quebranto en un proceso de reorganización, no solo afecta a la entidad no continuadora (absorbida) sino también a la antecesora titular de los quebrantos que se involucra en el proceso de fusión, de acuerdo con el criterio de la causa Galeno Argentina S.A.</w:t>
      </w:r>
      <w:r w:rsidR="006245A8" w:rsidRPr="006245A8">
        <w:rPr>
          <w:rFonts w:ascii="Arial" w:hAnsi="Arial" w:cs="Arial"/>
          <w:sz w:val="24"/>
          <w:szCs w:val="24"/>
          <w:vertAlign w:val="superscript"/>
          <w:lang w:val="es-ES"/>
        </w:rPr>
        <w:endnoteReference w:id="26"/>
      </w:r>
      <w:r w:rsidR="006245A8" w:rsidRPr="006245A8">
        <w:rPr>
          <w:rFonts w:ascii="Arial" w:hAnsi="Arial" w:cs="Arial"/>
          <w:sz w:val="24"/>
          <w:szCs w:val="24"/>
          <w:lang w:val="es-ES"/>
        </w:rPr>
        <w:t xml:space="preserve"> donde por encima de cierta literalidad, resolvió el caso sobre del espíritu de las leyes y su finalidad (evitar maniobras de compras de empresas para aprovechar inmediatamente los quebrantos). En definitiva, en un proceso de reorganización se </w:t>
      </w:r>
      <w:r w:rsidR="006245A8">
        <w:rPr>
          <w:rFonts w:ascii="Arial" w:hAnsi="Arial" w:cs="Arial"/>
          <w:sz w:val="24"/>
          <w:szCs w:val="24"/>
          <w:lang w:val="es-ES"/>
        </w:rPr>
        <w:t>debería analizar el requisito previsto para el traslado de los quebrantos.</w:t>
      </w:r>
    </w:p>
    <w:p w14:paraId="151280EC" w14:textId="77777777" w:rsidR="000D6600" w:rsidRDefault="000D6600" w:rsidP="00CA60AF">
      <w:pPr>
        <w:jc w:val="both"/>
        <w:rPr>
          <w:rFonts w:ascii="Arial" w:hAnsi="Arial" w:cs="Arial"/>
          <w:sz w:val="24"/>
          <w:szCs w:val="24"/>
          <w:lang w:val="es-ES"/>
        </w:rPr>
      </w:pPr>
    </w:p>
    <w:p w14:paraId="025F59C0" w14:textId="77777777" w:rsidR="0057507E" w:rsidRDefault="00C43B94" w:rsidP="00CA60AF">
      <w:pPr>
        <w:jc w:val="both"/>
        <w:rPr>
          <w:rFonts w:ascii="Arial" w:hAnsi="Arial" w:cs="Arial"/>
          <w:sz w:val="24"/>
          <w:szCs w:val="24"/>
          <w:lang w:val="es-ES"/>
        </w:rPr>
      </w:pPr>
      <w:r w:rsidRPr="00203017">
        <w:rPr>
          <w:rFonts w:ascii="Arial" w:hAnsi="Arial" w:cs="Arial"/>
          <w:sz w:val="24"/>
          <w:szCs w:val="24"/>
          <w:lang w:val="es-ES"/>
        </w:rPr>
        <w:t>Este último escenario se podría mejorar si fuere posible como en otros países (</w:t>
      </w:r>
      <w:r>
        <w:rPr>
          <w:rFonts w:ascii="Arial" w:hAnsi="Arial" w:cs="Arial"/>
          <w:sz w:val="24"/>
          <w:szCs w:val="24"/>
          <w:lang w:val="es-ES"/>
        </w:rPr>
        <w:t>Estados Unidos,</w:t>
      </w:r>
      <w:r w:rsidR="003E1BF5">
        <w:rPr>
          <w:rFonts w:ascii="Arial" w:hAnsi="Arial" w:cs="Arial"/>
          <w:sz w:val="24"/>
          <w:szCs w:val="24"/>
          <w:lang w:val="es-ES"/>
        </w:rPr>
        <w:t xml:space="preserve"> España</w:t>
      </w:r>
      <w:r>
        <w:rPr>
          <w:rFonts w:ascii="Arial" w:hAnsi="Arial" w:cs="Arial"/>
          <w:sz w:val="24"/>
          <w:szCs w:val="24"/>
          <w:lang w:val="es-ES"/>
        </w:rPr>
        <w:t xml:space="preserve"> Francia, entre otros</w:t>
      </w:r>
      <w:r w:rsidRPr="00203017">
        <w:rPr>
          <w:rFonts w:ascii="Arial" w:hAnsi="Arial" w:cs="Arial"/>
          <w:sz w:val="24"/>
          <w:szCs w:val="24"/>
          <w:lang w:val="es-ES"/>
        </w:rPr>
        <w:t>.)</w:t>
      </w:r>
      <w:r w:rsidR="003E1BF5">
        <w:rPr>
          <w:rFonts w:ascii="Arial" w:hAnsi="Arial" w:cs="Arial"/>
          <w:sz w:val="24"/>
          <w:szCs w:val="24"/>
          <w:lang w:val="es-ES"/>
        </w:rPr>
        <w:t xml:space="preserve"> optar por</w:t>
      </w:r>
      <w:r w:rsidRPr="00203017">
        <w:rPr>
          <w:rFonts w:ascii="Arial" w:hAnsi="Arial" w:cs="Arial"/>
          <w:sz w:val="24"/>
          <w:szCs w:val="24"/>
          <w:lang w:val="es-ES"/>
        </w:rPr>
        <w:t xml:space="preserve"> la presentación de declaraciones juradas consolidadas de</w:t>
      </w:r>
      <w:r>
        <w:rPr>
          <w:rFonts w:ascii="Arial" w:hAnsi="Arial" w:cs="Arial"/>
          <w:sz w:val="24"/>
          <w:szCs w:val="24"/>
          <w:lang w:val="es-ES"/>
        </w:rPr>
        <w:t xml:space="preserve"> empresas integrantes de </w:t>
      </w:r>
      <w:r w:rsidRPr="00203017">
        <w:rPr>
          <w:rFonts w:ascii="Arial" w:hAnsi="Arial" w:cs="Arial"/>
          <w:sz w:val="24"/>
          <w:szCs w:val="24"/>
          <w:lang w:val="es-ES"/>
        </w:rPr>
        <w:t xml:space="preserve">un conjunto económico. Un escenario que refleja la realidad </w:t>
      </w:r>
      <w:r>
        <w:rPr>
          <w:rFonts w:ascii="Arial" w:hAnsi="Arial" w:cs="Arial"/>
          <w:sz w:val="24"/>
          <w:szCs w:val="24"/>
          <w:lang w:val="es-ES"/>
        </w:rPr>
        <w:t xml:space="preserve">tributaria </w:t>
      </w:r>
      <w:r w:rsidRPr="00203017">
        <w:rPr>
          <w:rFonts w:ascii="Arial" w:hAnsi="Arial" w:cs="Arial"/>
          <w:sz w:val="24"/>
          <w:szCs w:val="24"/>
          <w:lang w:val="es-ES"/>
        </w:rPr>
        <w:t>de un grupo</w:t>
      </w:r>
      <w:r>
        <w:rPr>
          <w:rFonts w:ascii="Arial" w:hAnsi="Arial" w:cs="Arial"/>
          <w:sz w:val="24"/>
          <w:szCs w:val="24"/>
          <w:lang w:val="es-ES"/>
        </w:rPr>
        <w:t xml:space="preserve"> económico</w:t>
      </w:r>
      <w:r w:rsidRPr="00203017">
        <w:rPr>
          <w:rFonts w:ascii="Arial" w:hAnsi="Arial" w:cs="Arial"/>
          <w:sz w:val="24"/>
          <w:szCs w:val="24"/>
          <w:lang w:val="es-ES"/>
        </w:rPr>
        <w:t xml:space="preserve"> evita</w:t>
      </w:r>
      <w:r>
        <w:rPr>
          <w:rFonts w:ascii="Arial" w:hAnsi="Arial" w:cs="Arial"/>
          <w:sz w:val="24"/>
          <w:szCs w:val="24"/>
          <w:lang w:val="es-ES"/>
        </w:rPr>
        <w:t>ría</w:t>
      </w:r>
      <w:r w:rsidRPr="00203017">
        <w:rPr>
          <w:rFonts w:ascii="Arial" w:hAnsi="Arial" w:cs="Arial"/>
          <w:sz w:val="24"/>
          <w:szCs w:val="24"/>
          <w:lang w:val="es-ES"/>
        </w:rPr>
        <w:t xml:space="preserve"> los costos burocráticos </w:t>
      </w:r>
      <w:r>
        <w:rPr>
          <w:rFonts w:ascii="Arial" w:hAnsi="Arial" w:cs="Arial"/>
          <w:sz w:val="24"/>
          <w:szCs w:val="24"/>
          <w:lang w:val="es-ES"/>
        </w:rPr>
        <w:t xml:space="preserve">de los procesos reorganizativos </w:t>
      </w:r>
      <w:r w:rsidRPr="00203017">
        <w:rPr>
          <w:rFonts w:ascii="Arial" w:hAnsi="Arial" w:cs="Arial"/>
          <w:sz w:val="24"/>
          <w:szCs w:val="24"/>
          <w:lang w:val="es-ES"/>
        </w:rPr>
        <w:t xml:space="preserve">y otorga flexibilidad al cómputo de quebrantos, en </w:t>
      </w:r>
      <w:r>
        <w:rPr>
          <w:rFonts w:ascii="Arial" w:hAnsi="Arial" w:cs="Arial"/>
          <w:sz w:val="24"/>
          <w:szCs w:val="24"/>
          <w:lang w:val="es-ES"/>
        </w:rPr>
        <w:t xml:space="preserve">pos de </w:t>
      </w:r>
      <w:r w:rsidRPr="00203017">
        <w:rPr>
          <w:rFonts w:ascii="Arial" w:hAnsi="Arial" w:cs="Arial"/>
          <w:sz w:val="24"/>
          <w:szCs w:val="24"/>
          <w:lang w:val="es-ES"/>
        </w:rPr>
        <w:t>un sistema tributario equitativo y razonable</w:t>
      </w:r>
      <w:r>
        <w:rPr>
          <w:rFonts w:ascii="Arial" w:hAnsi="Arial" w:cs="Arial"/>
          <w:sz w:val="24"/>
          <w:szCs w:val="24"/>
          <w:lang w:val="es-ES"/>
        </w:rPr>
        <w:t xml:space="preserve"> que respete el principio de capacidad contributiva.</w:t>
      </w:r>
    </w:p>
    <w:p w14:paraId="483009F2" w14:textId="77777777" w:rsidR="0057507E" w:rsidRDefault="0057507E" w:rsidP="00CA60AF">
      <w:pPr>
        <w:jc w:val="both"/>
        <w:rPr>
          <w:rFonts w:ascii="Arial" w:hAnsi="Arial" w:cs="Arial"/>
          <w:sz w:val="24"/>
          <w:szCs w:val="24"/>
          <w:lang w:val="es-ES"/>
        </w:rPr>
      </w:pPr>
    </w:p>
    <w:p w14:paraId="6ED87E03" w14:textId="4EF5E251" w:rsidR="00C43B94" w:rsidRPr="00203017" w:rsidRDefault="00897507" w:rsidP="00CA60AF">
      <w:pPr>
        <w:jc w:val="both"/>
        <w:rPr>
          <w:rFonts w:ascii="Arial" w:hAnsi="Arial" w:cs="Arial"/>
          <w:sz w:val="24"/>
          <w:szCs w:val="24"/>
          <w:lang w:val="es-ES"/>
        </w:rPr>
      </w:pPr>
      <w:r>
        <w:rPr>
          <w:rFonts w:ascii="Arial" w:hAnsi="Arial" w:cs="Arial"/>
          <w:sz w:val="24"/>
          <w:szCs w:val="24"/>
          <w:lang w:val="es-ES"/>
        </w:rPr>
        <w:t>6.2.</w:t>
      </w:r>
      <w:r w:rsidR="00D67B65">
        <w:rPr>
          <w:rFonts w:ascii="Arial" w:hAnsi="Arial" w:cs="Arial"/>
          <w:sz w:val="24"/>
          <w:szCs w:val="24"/>
          <w:lang w:val="es-ES"/>
        </w:rPr>
        <w:t>2.</w:t>
      </w:r>
      <w:r w:rsidR="00D67B65" w:rsidRPr="00D67B65">
        <w:rPr>
          <w:rFonts w:ascii="Arial" w:hAnsi="Arial" w:cs="Arial"/>
          <w:sz w:val="24"/>
          <w:szCs w:val="24"/>
          <w:lang w:val="es-ES"/>
        </w:rPr>
        <w:t xml:space="preserve"> </w:t>
      </w:r>
      <w:r w:rsidR="00D67B65" w:rsidRPr="003E1ED3">
        <w:rPr>
          <w:rFonts w:ascii="Arial" w:hAnsi="Arial" w:cs="Arial"/>
          <w:sz w:val="24"/>
          <w:szCs w:val="24"/>
          <w:u w:val="single"/>
          <w:lang w:val="es-ES"/>
        </w:rPr>
        <w:t>Traslación</w:t>
      </w:r>
      <w:r w:rsidR="0057507E" w:rsidRPr="003E1ED3">
        <w:rPr>
          <w:rFonts w:ascii="Arial" w:hAnsi="Arial" w:cs="Arial"/>
          <w:sz w:val="24"/>
          <w:szCs w:val="24"/>
          <w:u w:val="single"/>
          <w:lang w:val="es-ES"/>
        </w:rPr>
        <w:t xml:space="preserve"> según el sujeto generador del quebranto</w:t>
      </w:r>
      <w:r w:rsidR="0057507E">
        <w:rPr>
          <w:rFonts w:ascii="Arial" w:hAnsi="Arial" w:cs="Arial"/>
          <w:sz w:val="24"/>
          <w:szCs w:val="24"/>
          <w:lang w:val="es-ES"/>
        </w:rPr>
        <w:t>.</w:t>
      </w:r>
      <w:r w:rsidR="00C43B94">
        <w:rPr>
          <w:rFonts w:ascii="Arial" w:hAnsi="Arial" w:cs="Arial"/>
          <w:sz w:val="24"/>
          <w:szCs w:val="24"/>
          <w:lang w:val="es-ES"/>
        </w:rPr>
        <w:t xml:space="preserve"> </w:t>
      </w:r>
    </w:p>
    <w:p w14:paraId="3C125E3C" w14:textId="77777777" w:rsidR="00C43B94" w:rsidRPr="00203017" w:rsidRDefault="00C43B94" w:rsidP="00CA60AF">
      <w:pPr>
        <w:jc w:val="both"/>
        <w:rPr>
          <w:rFonts w:ascii="Arial" w:hAnsi="Arial" w:cs="Arial"/>
          <w:sz w:val="24"/>
          <w:szCs w:val="24"/>
          <w:lang w:val="es-ES"/>
        </w:rPr>
      </w:pPr>
    </w:p>
    <w:p w14:paraId="0CEA2DFA" w14:textId="06ABB3D0" w:rsidR="00C43B94" w:rsidRPr="00F650AF" w:rsidRDefault="00C43B94" w:rsidP="0003710B">
      <w:pPr>
        <w:jc w:val="both"/>
        <w:rPr>
          <w:rFonts w:ascii="Arial" w:hAnsi="Arial" w:cs="Arial"/>
          <w:i/>
          <w:iCs/>
          <w:sz w:val="24"/>
          <w:szCs w:val="24"/>
          <w:lang w:val="es-ES"/>
        </w:rPr>
      </w:pPr>
      <w:r w:rsidRPr="00F650AF">
        <w:rPr>
          <w:rFonts w:ascii="Arial" w:hAnsi="Arial" w:cs="Arial"/>
          <w:i/>
          <w:iCs/>
          <w:sz w:val="24"/>
          <w:szCs w:val="24"/>
          <w:lang w:val="es-ES"/>
        </w:rPr>
        <w:t>A nivel internacional</w:t>
      </w:r>
    </w:p>
    <w:p w14:paraId="08FCE847" w14:textId="77777777" w:rsidR="00C43B94" w:rsidRDefault="00C43B94" w:rsidP="00CA60AF">
      <w:pPr>
        <w:jc w:val="both"/>
        <w:rPr>
          <w:rFonts w:ascii="Arial" w:hAnsi="Arial" w:cs="Arial"/>
          <w:sz w:val="24"/>
          <w:szCs w:val="24"/>
          <w:lang w:val="es-ES"/>
        </w:rPr>
      </w:pPr>
    </w:p>
    <w:p w14:paraId="27B5EDD4" w14:textId="0C7B48CB" w:rsidR="00C43B94" w:rsidRDefault="00C43B94" w:rsidP="00CA60AF">
      <w:pPr>
        <w:jc w:val="both"/>
        <w:rPr>
          <w:rFonts w:ascii="Arial" w:hAnsi="Arial" w:cs="Arial"/>
          <w:sz w:val="24"/>
          <w:szCs w:val="24"/>
          <w:lang w:val="es-ES"/>
        </w:rPr>
      </w:pPr>
      <w:r>
        <w:rPr>
          <w:rFonts w:ascii="Arial" w:hAnsi="Arial" w:cs="Arial"/>
          <w:sz w:val="24"/>
          <w:szCs w:val="24"/>
          <w:lang w:val="es-ES"/>
        </w:rPr>
        <w:t>En</w:t>
      </w:r>
      <w:r w:rsidRPr="00203017">
        <w:rPr>
          <w:rFonts w:ascii="Arial" w:hAnsi="Arial" w:cs="Arial"/>
          <w:sz w:val="24"/>
          <w:szCs w:val="24"/>
          <w:lang w:val="es-ES"/>
        </w:rPr>
        <w:t xml:space="preserve"> nuestro país es usual que muchas empresas que no pueden tomar el quebranto y para </w:t>
      </w:r>
      <w:r w:rsidR="00BC5BE1">
        <w:rPr>
          <w:rFonts w:ascii="Arial" w:hAnsi="Arial" w:cs="Arial"/>
          <w:sz w:val="24"/>
          <w:szCs w:val="24"/>
          <w:lang w:val="es-ES"/>
        </w:rPr>
        <w:t>coordinar</w:t>
      </w:r>
      <w:r w:rsidR="00BC5BE1" w:rsidRPr="00203017">
        <w:rPr>
          <w:rFonts w:ascii="Arial" w:hAnsi="Arial" w:cs="Arial"/>
          <w:sz w:val="24"/>
          <w:szCs w:val="24"/>
          <w:lang w:val="es-ES"/>
        </w:rPr>
        <w:t xml:space="preserve"> </w:t>
      </w:r>
      <w:r w:rsidRPr="00203017">
        <w:rPr>
          <w:rFonts w:ascii="Arial" w:hAnsi="Arial" w:cs="Arial"/>
          <w:sz w:val="24"/>
          <w:szCs w:val="24"/>
          <w:lang w:val="es-ES"/>
        </w:rPr>
        <w:t>plazo de 5 años o la falta de actualización plena, adopten una figura societaria que resulten transparentes con relación a sus dueños o socios</w:t>
      </w:r>
      <w:r>
        <w:rPr>
          <w:rFonts w:ascii="Arial" w:hAnsi="Arial" w:cs="Arial"/>
          <w:sz w:val="24"/>
          <w:szCs w:val="24"/>
          <w:lang w:val="es-ES"/>
        </w:rPr>
        <w:t xml:space="preserve"> en el exterior</w:t>
      </w:r>
      <w:r w:rsidRPr="00203017">
        <w:rPr>
          <w:rFonts w:ascii="Arial" w:hAnsi="Arial" w:cs="Arial"/>
          <w:sz w:val="24"/>
          <w:szCs w:val="24"/>
          <w:lang w:val="es-ES"/>
        </w:rPr>
        <w:t xml:space="preserve">. En tal caso es usual la inversión vía sucursal -misma persona jurídica- o sociedades de personas (S.R.L. en vez de S.A.). En definitiva, los quebrantos generados en Argentina son computados en el exterior, </w:t>
      </w:r>
      <w:r w:rsidRPr="00203017">
        <w:rPr>
          <w:rFonts w:ascii="Arial" w:hAnsi="Arial" w:cs="Arial"/>
          <w:sz w:val="24"/>
          <w:szCs w:val="24"/>
          <w:lang w:val="es-ES"/>
        </w:rPr>
        <w:lastRenderedPageBreak/>
        <w:t>convertidos a moneda extranjera que evita su deterioro inflacionario frente al peso.</w:t>
      </w:r>
    </w:p>
    <w:p w14:paraId="30187DEA" w14:textId="36A35280" w:rsidR="00BC5BE1" w:rsidRDefault="00BC5BE1" w:rsidP="00CA60AF">
      <w:pPr>
        <w:jc w:val="both"/>
        <w:rPr>
          <w:rFonts w:ascii="Arial" w:hAnsi="Arial" w:cs="Arial"/>
          <w:sz w:val="24"/>
          <w:szCs w:val="24"/>
          <w:lang w:val="es-ES"/>
        </w:rPr>
      </w:pPr>
    </w:p>
    <w:p w14:paraId="029083FF" w14:textId="376247E9" w:rsidR="00C43B94" w:rsidRDefault="00C43B94" w:rsidP="00CA60AF">
      <w:pPr>
        <w:jc w:val="both"/>
        <w:rPr>
          <w:rFonts w:ascii="Arial" w:hAnsi="Arial" w:cs="Arial"/>
          <w:sz w:val="24"/>
          <w:szCs w:val="24"/>
          <w:lang w:val="es-ES"/>
        </w:rPr>
      </w:pPr>
      <w:r>
        <w:rPr>
          <w:rFonts w:ascii="Arial" w:hAnsi="Arial" w:cs="Arial"/>
          <w:sz w:val="24"/>
          <w:szCs w:val="24"/>
          <w:lang w:val="es-ES"/>
        </w:rPr>
        <w:t xml:space="preserve">A </w:t>
      </w:r>
      <w:r w:rsidR="00BC5BE1">
        <w:rPr>
          <w:rFonts w:ascii="Arial" w:hAnsi="Arial" w:cs="Arial"/>
          <w:sz w:val="24"/>
          <w:szCs w:val="24"/>
          <w:lang w:val="es-ES"/>
        </w:rPr>
        <w:t>continuación,</w:t>
      </w:r>
      <w:r>
        <w:rPr>
          <w:rFonts w:ascii="Arial" w:hAnsi="Arial" w:cs="Arial"/>
          <w:sz w:val="24"/>
          <w:szCs w:val="24"/>
          <w:lang w:val="es-ES"/>
        </w:rPr>
        <w:t xml:space="preserve"> un </w:t>
      </w:r>
      <w:r w:rsidR="003E1BF5">
        <w:rPr>
          <w:rFonts w:ascii="Arial" w:hAnsi="Arial" w:cs="Arial"/>
          <w:sz w:val="24"/>
          <w:szCs w:val="24"/>
          <w:lang w:val="es-ES"/>
        </w:rPr>
        <w:t>gráfico</w:t>
      </w:r>
      <w:r>
        <w:rPr>
          <w:rFonts w:ascii="Arial" w:hAnsi="Arial" w:cs="Arial"/>
          <w:sz w:val="24"/>
          <w:szCs w:val="24"/>
          <w:lang w:val="es-ES"/>
        </w:rPr>
        <w:t xml:space="preserve">, donde se muestra a la entidad extranjera y local, indicando que la entidad extranjera al computar el quebranto </w:t>
      </w:r>
      <w:r w:rsidR="00D827AC">
        <w:rPr>
          <w:rFonts w:ascii="Arial" w:hAnsi="Arial" w:cs="Arial"/>
          <w:sz w:val="24"/>
          <w:szCs w:val="24"/>
          <w:lang w:val="es-ES"/>
        </w:rPr>
        <w:t xml:space="preserve">(convertido a moneda extranjera al tipo de cambio oficial en </w:t>
      </w:r>
      <w:r w:rsidR="003E1ED3">
        <w:rPr>
          <w:rFonts w:ascii="Arial" w:hAnsi="Arial" w:cs="Arial"/>
          <w:sz w:val="24"/>
          <w:szCs w:val="24"/>
          <w:lang w:val="es-ES"/>
        </w:rPr>
        <w:t>relación</w:t>
      </w:r>
      <w:r w:rsidR="00D827AC">
        <w:rPr>
          <w:rFonts w:ascii="Arial" w:hAnsi="Arial" w:cs="Arial"/>
          <w:sz w:val="24"/>
          <w:szCs w:val="24"/>
          <w:lang w:val="es-ES"/>
        </w:rPr>
        <w:t xml:space="preserve"> al peso) </w:t>
      </w:r>
      <w:r>
        <w:rPr>
          <w:rFonts w:ascii="Arial" w:hAnsi="Arial" w:cs="Arial"/>
          <w:sz w:val="24"/>
          <w:szCs w:val="24"/>
          <w:lang w:val="es-ES"/>
        </w:rPr>
        <w:t xml:space="preserve">recupera el impuesto, y asimismo la entidad local a los efectos fiscales mantiene el quebranto en expectativa para su utilización conforme las regulaciones del impuesto a las ganancias. </w:t>
      </w:r>
      <w:r w:rsidR="004378EB">
        <w:rPr>
          <w:rFonts w:ascii="Arial" w:hAnsi="Arial" w:cs="Arial"/>
          <w:sz w:val="24"/>
          <w:szCs w:val="24"/>
          <w:lang w:val="es-ES"/>
        </w:rPr>
        <w:t xml:space="preserve">La </w:t>
      </w:r>
      <w:r w:rsidR="003C02AB">
        <w:rPr>
          <w:rFonts w:ascii="Arial" w:hAnsi="Arial" w:cs="Arial"/>
          <w:sz w:val="24"/>
          <w:szCs w:val="24"/>
          <w:lang w:val="es-ES"/>
        </w:rPr>
        <w:t>traslación</w:t>
      </w:r>
      <w:r w:rsidR="004378EB">
        <w:rPr>
          <w:rFonts w:ascii="Arial" w:hAnsi="Arial" w:cs="Arial"/>
          <w:sz w:val="24"/>
          <w:szCs w:val="24"/>
          <w:lang w:val="es-ES"/>
        </w:rPr>
        <w:t xml:space="preserve"> en favor del ente del exterior (casa matriz, o socio de entidad transparente a los fines fiscales) se deberá analizar conforme </w:t>
      </w:r>
      <w:r w:rsidR="003C02AB">
        <w:rPr>
          <w:rFonts w:ascii="Arial" w:hAnsi="Arial" w:cs="Arial"/>
          <w:sz w:val="24"/>
          <w:szCs w:val="24"/>
          <w:lang w:val="es-ES"/>
        </w:rPr>
        <w:t>legislación</w:t>
      </w:r>
      <w:r w:rsidR="004378EB">
        <w:rPr>
          <w:rFonts w:ascii="Arial" w:hAnsi="Arial" w:cs="Arial"/>
          <w:sz w:val="24"/>
          <w:szCs w:val="24"/>
          <w:lang w:val="es-ES"/>
        </w:rPr>
        <w:t xml:space="preserve"> extranjera</w:t>
      </w:r>
      <w:r w:rsidR="003C02AB">
        <w:rPr>
          <w:rFonts w:ascii="Arial" w:hAnsi="Arial" w:cs="Arial"/>
          <w:sz w:val="24"/>
          <w:szCs w:val="24"/>
          <w:lang w:val="es-ES"/>
        </w:rPr>
        <w:t xml:space="preserve"> </w:t>
      </w:r>
      <w:r w:rsidR="00984468" w:rsidRPr="00984468">
        <w:rPr>
          <w:rFonts w:ascii="Arial" w:hAnsi="Arial" w:cs="Arial"/>
          <w:sz w:val="24"/>
          <w:szCs w:val="24"/>
          <w:lang w:val="es-ES"/>
        </w:rPr>
        <w:t>y con la asistencia de asesores fiscales de los distintos países de residencia de los potenciales inversores.</w:t>
      </w:r>
      <w:r w:rsidR="003C02AB">
        <w:rPr>
          <w:rFonts w:ascii="Arial" w:hAnsi="Arial" w:cs="Arial"/>
          <w:sz w:val="24"/>
          <w:szCs w:val="24"/>
          <w:lang w:val="es-ES"/>
        </w:rPr>
        <w:t xml:space="preserve"> </w:t>
      </w:r>
    </w:p>
    <w:p w14:paraId="1F63631A" w14:textId="563A37E7" w:rsidR="006722E2" w:rsidRDefault="003E1ED3" w:rsidP="00CA60AF">
      <w:pPr>
        <w:jc w:val="both"/>
        <w:rPr>
          <w:rFonts w:ascii="Arial" w:hAnsi="Arial" w:cs="Arial"/>
          <w:sz w:val="24"/>
          <w:szCs w:val="24"/>
          <w:lang w:val="es-ES"/>
        </w:rPr>
      </w:pPr>
      <w:r>
        <w:rPr>
          <w:rFonts w:ascii="Arial" w:hAnsi="Arial" w:cs="Arial"/>
          <w:noProof/>
          <w:sz w:val="24"/>
          <w:szCs w:val="24"/>
          <w:lang w:eastAsia="es-AR"/>
        </w:rPr>
        <mc:AlternateContent>
          <mc:Choice Requires="wps">
            <w:drawing>
              <wp:anchor distT="0" distB="0" distL="114300" distR="114300" simplePos="0" relativeHeight="251674624" behindDoc="0" locked="0" layoutInCell="1" allowOverlap="1" wp14:anchorId="7135D7C7" wp14:editId="00B943B3">
                <wp:simplePos x="0" y="0"/>
                <wp:positionH relativeFrom="margin">
                  <wp:posOffset>2381250</wp:posOffset>
                </wp:positionH>
                <wp:positionV relativeFrom="paragraph">
                  <wp:posOffset>114935</wp:posOffset>
                </wp:positionV>
                <wp:extent cx="1333500" cy="638175"/>
                <wp:effectExtent l="0" t="0" r="19050" b="28575"/>
                <wp:wrapNone/>
                <wp:docPr id="1" name="Cuadro de texto 1"/>
                <wp:cNvGraphicFramePr/>
                <a:graphic xmlns:a="http://schemas.openxmlformats.org/drawingml/2006/main">
                  <a:graphicData uri="http://schemas.microsoft.com/office/word/2010/wordprocessingShape">
                    <wps:wsp>
                      <wps:cNvSpPr txBox="1"/>
                      <wps:spPr>
                        <a:xfrm>
                          <a:off x="0" y="0"/>
                          <a:ext cx="1333500" cy="638175"/>
                        </a:xfrm>
                        <a:prstGeom prst="rect">
                          <a:avLst/>
                        </a:prstGeom>
                        <a:ln/>
                      </wps:spPr>
                      <wps:style>
                        <a:lnRef idx="2">
                          <a:schemeClr val="dk1"/>
                        </a:lnRef>
                        <a:fillRef idx="1">
                          <a:schemeClr val="lt1"/>
                        </a:fillRef>
                        <a:effectRef idx="0">
                          <a:schemeClr val="dk1"/>
                        </a:effectRef>
                        <a:fontRef idx="minor">
                          <a:schemeClr val="dk1"/>
                        </a:fontRef>
                      </wps:style>
                      <wps:txbx>
                        <w:txbxContent>
                          <w:p w14:paraId="75C1CE77" w14:textId="72807A08" w:rsidR="00CD5C83" w:rsidRDefault="00CD5C83" w:rsidP="003E1ED3">
                            <w:pPr>
                              <w:jc w:val="center"/>
                            </w:pPr>
                            <w:r>
                              <w:t>Casa Matriz en el Exterior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35D7C7" id="_x0000_t202" coordsize="21600,21600" o:spt="202" path="m,l,21600r21600,l21600,xe">
                <v:stroke joinstyle="miter"/>
                <v:path gradientshapeok="t" o:connecttype="rect"/>
              </v:shapetype>
              <v:shape id="Cuadro de texto 1" o:spid="_x0000_s1026" type="#_x0000_t202" style="position:absolute;left:0;text-align:left;margin-left:187.5pt;margin-top:9.05pt;width:105pt;height:50.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" fillcolor="white [3201]" strokecolor="black [3200]" strokeweight="1pt">
                <v:textbox>
                  <w:txbxContent>
                    <w:p w14:paraId="75C1CE77" w14:textId="72807A08" w:rsidR="00CD5C83" w:rsidRDefault="00CD5C83" w:rsidP="003E1ED3">
                      <w:pPr>
                        <w:jc w:val="center"/>
                      </w:pPr>
                      <w:r>
                        <w:t>Casa Matriz en el Exterior</w:t>
                      </w:r>
                    </w:p>
                  </w:txbxContent>
                </v:textbox>
                <w10:wrap anchorx="margin"/>
              </v:shape>
            </w:pict>
          </mc:Fallback>
        </mc:AlternateContent>
      </w:r>
    </w:p>
    <w:p w14:paraId="3C7DB8D8" w14:textId="00FF1E4E" w:rsidR="003E1ED3" w:rsidRDefault="003E1ED3" w:rsidP="00CA60AF">
      <w:pPr>
        <w:jc w:val="both"/>
        <w:rPr>
          <w:rFonts w:ascii="Arial" w:hAnsi="Arial" w:cs="Arial"/>
          <w:sz w:val="24"/>
          <w:szCs w:val="24"/>
          <w:lang w:val="es-ES"/>
        </w:rPr>
      </w:pPr>
    </w:p>
    <w:p w14:paraId="4926EF94" w14:textId="77777777" w:rsidR="003E1ED3" w:rsidRDefault="003E1ED3" w:rsidP="00CA60AF">
      <w:pPr>
        <w:jc w:val="both"/>
        <w:rPr>
          <w:rFonts w:ascii="Arial" w:hAnsi="Arial" w:cs="Arial"/>
          <w:sz w:val="24"/>
          <w:szCs w:val="24"/>
          <w:lang w:val="es-ES"/>
        </w:rPr>
      </w:pPr>
    </w:p>
    <w:p w14:paraId="443F15A3" w14:textId="01688884" w:rsidR="00BC5BE1" w:rsidRDefault="00BC5BE1" w:rsidP="00CA60AF">
      <w:pPr>
        <w:jc w:val="both"/>
        <w:rPr>
          <w:rFonts w:ascii="Arial" w:hAnsi="Arial" w:cs="Arial"/>
          <w:sz w:val="24"/>
          <w:szCs w:val="24"/>
          <w:lang w:val="es-ES"/>
        </w:rPr>
      </w:pPr>
    </w:p>
    <w:p w14:paraId="1746E6E1" w14:textId="1614165D" w:rsidR="00BC5BE1" w:rsidRDefault="00BC5BE1" w:rsidP="00CA60AF">
      <w:pPr>
        <w:jc w:val="both"/>
        <w:rPr>
          <w:rFonts w:ascii="Arial" w:hAnsi="Arial" w:cs="Arial"/>
          <w:sz w:val="24"/>
          <w:szCs w:val="24"/>
          <w:lang w:val="es-ES"/>
        </w:rPr>
      </w:pPr>
    </w:p>
    <w:p w14:paraId="1BAAB259" w14:textId="262AEF39" w:rsidR="00BC5BE1" w:rsidRDefault="009D781C" w:rsidP="00CA60AF">
      <w:pPr>
        <w:jc w:val="both"/>
        <w:rPr>
          <w:rFonts w:ascii="Arial" w:hAnsi="Arial" w:cs="Arial"/>
          <w:sz w:val="24"/>
          <w:szCs w:val="24"/>
          <w:lang w:val="es-ES"/>
        </w:rPr>
      </w:pPr>
      <w:r>
        <w:rPr>
          <w:rFonts w:ascii="Arial" w:hAnsi="Arial" w:cs="Arial"/>
          <w:noProof/>
          <w:sz w:val="24"/>
          <w:szCs w:val="24"/>
          <w:lang w:eastAsia="es-AR"/>
        </w:rPr>
        <mc:AlternateContent>
          <mc:Choice Requires="wps">
            <w:drawing>
              <wp:anchor distT="0" distB="0" distL="114300" distR="114300" simplePos="0" relativeHeight="251663360" behindDoc="0" locked="0" layoutInCell="1" allowOverlap="1" wp14:anchorId="65934203" wp14:editId="16CE6B3A">
                <wp:simplePos x="0" y="0"/>
                <wp:positionH relativeFrom="column">
                  <wp:posOffset>3463290</wp:posOffset>
                </wp:positionH>
                <wp:positionV relativeFrom="paragraph">
                  <wp:posOffset>165100</wp:posOffset>
                </wp:positionV>
                <wp:extent cx="904875" cy="361950"/>
                <wp:effectExtent l="0" t="0" r="28575" b="19050"/>
                <wp:wrapNone/>
                <wp:docPr id="6" name="Cuadro de texto 6"/>
                <wp:cNvGraphicFramePr/>
                <a:graphic xmlns:a="http://schemas.openxmlformats.org/drawingml/2006/main">
                  <a:graphicData uri="http://schemas.microsoft.com/office/word/2010/wordprocessingShape">
                    <wps:wsp>
                      <wps:cNvSpPr txBox="1"/>
                      <wps:spPr>
                        <a:xfrm>
                          <a:off x="0" y="0"/>
                          <a:ext cx="904875" cy="361950"/>
                        </a:xfrm>
                        <a:prstGeom prst="rect">
                          <a:avLst/>
                        </a:prstGeom>
                        <a:solidFill>
                          <a:schemeClr val="lt1"/>
                        </a:solidFill>
                        <a:ln w="6350">
                          <a:solidFill>
                            <a:prstClr val="black"/>
                          </a:solidFill>
                        </a:ln>
                      </wps:spPr>
                      <wps:txbx>
                        <w:txbxContent>
                          <w:p w14:paraId="1F975F46" w14:textId="3FEFE7F4" w:rsidR="00CD5C83" w:rsidRDefault="00CD5C83">
                            <w:r>
                              <w:t>quebrantos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5934203" id="Cuadro de texto 6" o:spid="_x0000_s1027" type="#_x0000_t202" style="position:absolute;left:0;text-align:left;margin-left:272.7pt;margin-top:13pt;width:71.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" fillcolor="white [3201]" strokeweight=".5pt">
                <v:textbox>
                  <w:txbxContent>
                    <w:p w14:paraId="1F975F46" w14:textId="3FEFE7F4" w:rsidR="00CD5C83" w:rsidRDefault="00CD5C83">
                      <w:r>
                        <w:t>quebrantos</w:t>
                      </w:r>
                    </w:p>
                  </w:txbxContent>
                </v:textbox>
              </v:shape>
            </w:pict>
          </mc:Fallback>
        </mc:AlternateContent>
      </w:r>
      <w:r w:rsidR="005737C9">
        <w:rPr>
          <w:rFonts w:ascii="Arial" w:hAnsi="Arial" w:cs="Arial"/>
          <w:noProof/>
          <w:sz w:val="24"/>
          <w:szCs w:val="24"/>
          <w:lang w:eastAsia="es-AR"/>
        </w:rPr>
        <mc:AlternateContent>
          <mc:Choice Requires="wps">
            <w:drawing>
              <wp:anchor distT="0" distB="0" distL="114300" distR="114300" simplePos="0" relativeHeight="251662336" behindDoc="0" locked="0" layoutInCell="1" allowOverlap="1" wp14:anchorId="2F73FB69" wp14:editId="4712FF36">
                <wp:simplePos x="0" y="0"/>
                <wp:positionH relativeFrom="column">
                  <wp:posOffset>2939415</wp:posOffset>
                </wp:positionH>
                <wp:positionV relativeFrom="paragraph">
                  <wp:posOffset>98425</wp:posOffset>
                </wp:positionV>
                <wp:extent cx="276225" cy="485775"/>
                <wp:effectExtent l="19050" t="19050" r="47625" b="28575"/>
                <wp:wrapNone/>
                <wp:docPr id="3" name="Flecha: hacia arriba 3"/>
                <wp:cNvGraphicFramePr/>
                <a:graphic xmlns:a="http://schemas.openxmlformats.org/drawingml/2006/main">
                  <a:graphicData uri="http://schemas.microsoft.com/office/word/2010/wordprocessingShape">
                    <wps:wsp>
                      <wps:cNvSpPr/>
                      <wps:spPr>
                        <a:xfrm>
                          <a:off x="0" y="0"/>
                          <a:ext cx="276225" cy="4857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33BB44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lecha: hacia arriba 3" o:spid="_x0000_s1026" type="#_x0000_t68" style="position:absolute;margin-left:231.45pt;margin-top:7.75pt;width:21.75pt;height:38.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" adj="6141" fillcolor="#4472c4 [3204]" strokecolor="#1f3763 [1604]" strokeweight="1pt"/>
            </w:pict>
          </mc:Fallback>
        </mc:AlternateContent>
      </w:r>
    </w:p>
    <w:p w14:paraId="5E8EF08D" w14:textId="3D05E4E5" w:rsidR="00BC5BE1" w:rsidRDefault="00BC5BE1" w:rsidP="00CA60AF">
      <w:pPr>
        <w:jc w:val="both"/>
        <w:rPr>
          <w:rFonts w:ascii="Arial" w:hAnsi="Arial" w:cs="Arial"/>
          <w:sz w:val="24"/>
          <w:szCs w:val="24"/>
          <w:lang w:val="es-ES"/>
        </w:rPr>
      </w:pPr>
    </w:p>
    <w:p w14:paraId="56A69B66" w14:textId="53ECD0A6" w:rsidR="00BC5BE1" w:rsidRDefault="00BC5BE1" w:rsidP="00CA60AF">
      <w:pPr>
        <w:jc w:val="both"/>
        <w:rPr>
          <w:rFonts w:ascii="Arial" w:hAnsi="Arial" w:cs="Arial"/>
          <w:sz w:val="24"/>
          <w:szCs w:val="24"/>
          <w:lang w:val="es-ES"/>
        </w:rPr>
      </w:pPr>
    </w:p>
    <w:p w14:paraId="5019AB35" w14:textId="03C9EEBE" w:rsidR="00BC5BE1" w:rsidRDefault="00BC5BE1" w:rsidP="00CA60AF">
      <w:pPr>
        <w:jc w:val="both"/>
        <w:rPr>
          <w:rFonts w:ascii="Arial" w:hAnsi="Arial" w:cs="Arial"/>
          <w:sz w:val="24"/>
          <w:szCs w:val="24"/>
          <w:lang w:val="es-ES"/>
        </w:rPr>
      </w:pPr>
    </w:p>
    <w:p w14:paraId="74D8A45F" w14:textId="42BA507C" w:rsidR="00BC5BE1" w:rsidRDefault="006722E2" w:rsidP="00CA60AF">
      <w:pPr>
        <w:jc w:val="both"/>
        <w:rPr>
          <w:rFonts w:ascii="Arial" w:hAnsi="Arial" w:cs="Arial"/>
          <w:sz w:val="24"/>
          <w:szCs w:val="24"/>
          <w:lang w:val="es-ES"/>
        </w:rPr>
      </w:pPr>
      <w:r>
        <w:rPr>
          <w:rFonts w:ascii="Arial" w:hAnsi="Arial" w:cs="Arial"/>
          <w:noProof/>
          <w:sz w:val="24"/>
          <w:szCs w:val="24"/>
          <w:lang w:eastAsia="es-AR"/>
        </w:rPr>
        <mc:AlternateContent>
          <mc:Choice Requires="wps">
            <w:drawing>
              <wp:anchor distT="0" distB="0" distL="114300" distR="114300" simplePos="0" relativeHeight="251661312" behindDoc="0" locked="0" layoutInCell="1" allowOverlap="1" wp14:anchorId="00AE6B69" wp14:editId="2BDD61A9">
                <wp:simplePos x="0" y="0"/>
                <wp:positionH relativeFrom="column">
                  <wp:posOffset>2371725</wp:posOffset>
                </wp:positionH>
                <wp:positionV relativeFrom="paragraph">
                  <wp:posOffset>9525</wp:posOffset>
                </wp:positionV>
                <wp:extent cx="1333500" cy="428625"/>
                <wp:effectExtent l="0" t="0" r="19050" b="28575"/>
                <wp:wrapNone/>
                <wp:docPr id="2" name="Cuadro de texto 2"/>
                <wp:cNvGraphicFramePr/>
                <a:graphic xmlns:a="http://schemas.openxmlformats.org/drawingml/2006/main">
                  <a:graphicData uri="http://schemas.microsoft.com/office/word/2010/wordprocessingShape">
                    <wps:wsp>
                      <wps:cNvSpPr txBox="1"/>
                      <wps:spPr>
                        <a:xfrm>
                          <a:off x="0" y="0"/>
                          <a:ext cx="1333500" cy="428625"/>
                        </a:xfrm>
                        <a:prstGeom prst="rect">
                          <a:avLst/>
                        </a:prstGeom>
                        <a:ln/>
                      </wps:spPr>
                      <wps:style>
                        <a:lnRef idx="2">
                          <a:schemeClr val="dk1"/>
                        </a:lnRef>
                        <a:fillRef idx="1">
                          <a:schemeClr val="lt1"/>
                        </a:fillRef>
                        <a:effectRef idx="0">
                          <a:schemeClr val="dk1"/>
                        </a:effectRef>
                        <a:fontRef idx="minor">
                          <a:schemeClr val="dk1"/>
                        </a:fontRef>
                      </wps:style>
                      <wps:txbx>
                        <w:txbxContent>
                          <w:p w14:paraId="39292451" w14:textId="526344B2" w:rsidR="00CD5C83" w:rsidRDefault="00CD5C83" w:rsidP="006722E2">
                            <w:pPr>
                              <w:jc w:val="center"/>
                            </w:pPr>
                            <w:r>
                              <w:t xml:space="preserve">SUCURSAL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E6B69" id="Cuadro de texto 2" o:spid="_x0000_s1028" type="#_x0000_t202" style="position:absolute;left:0;text-align:left;margin-left:186.75pt;margin-top:.75pt;width:105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" fillcolor="white [3201]" strokecolor="black [3200]" strokeweight="1pt">
                <v:textbox>
                  <w:txbxContent>
                    <w:p w14:paraId="39292451" w14:textId="526344B2" w:rsidR="00CD5C83" w:rsidRDefault="00CD5C83" w:rsidP="006722E2">
                      <w:pPr>
                        <w:jc w:val="center"/>
                      </w:pPr>
                      <w:r>
                        <w:t xml:space="preserve">SUCURSAL </w:t>
                      </w:r>
                    </w:p>
                  </w:txbxContent>
                </v:textbox>
              </v:shape>
            </w:pict>
          </mc:Fallback>
        </mc:AlternateContent>
      </w:r>
    </w:p>
    <w:p w14:paraId="0644FAB8" w14:textId="1F531D0B" w:rsidR="00BC5BE1" w:rsidRDefault="00BC5BE1" w:rsidP="00CA60AF">
      <w:pPr>
        <w:jc w:val="both"/>
        <w:rPr>
          <w:rFonts w:ascii="Arial" w:hAnsi="Arial" w:cs="Arial"/>
          <w:sz w:val="24"/>
          <w:szCs w:val="24"/>
          <w:lang w:val="es-ES"/>
        </w:rPr>
      </w:pPr>
    </w:p>
    <w:p w14:paraId="528DEB50" w14:textId="77777777" w:rsidR="00BC5BE1" w:rsidRDefault="00BC5BE1" w:rsidP="00CA60AF">
      <w:pPr>
        <w:jc w:val="both"/>
        <w:rPr>
          <w:rFonts w:ascii="Arial" w:hAnsi="Arial" w:cs="Arial"/>
          <w:sz w:val="24"/>
          <w:szCs w:val="24"/>
          <w:lang w:val="es-ES"/>
        </w:rPr>
      </w:pPr>
    </w:p>
    <w:p w14:paraId="0971A32E" w14:textId="77777777" w:rsidR="00C43B94" w:rsidRPr="00203017" w:rsidRDefault="00C43B94" w:rsidP="00CA60AF">
      <w:pPr>
        <w:jc w:val="both"/>
        <w:rPr>
          <w:rFonts w:ascii="Arial" w:hAnsi="Arial" w:cs="Arial"/>
          <w:sz w:val="24"/>
          <w:szCs w:val="24"/>
          <w:lang w:val="es-ES"/>
        </w:rPr>
      </w:pPr>
    </w:p>
    <w:p w14:paraId="6AD2BB68" w14:textId="60919A04" w:rsidR="00C43B94" w:rsidRPr="00F650AF" w:rsidRDefault="00C43B94" w:rsidP="00CA60AF">
      <w:pPr>
        <w:jc w:val="both"/>
        <w:rPr>
          <w:rFonts w:ascii="Arial" w:hAnsi="Arial" w:cs="Arial"/>
          <w:i/>
          <w:iCs/>
          <w:sz w:val="24"/>
          <w:szCs w:val="24"/>
          <w:lang w:val="es-ES"/>
        </w:rPr>
      </w:pPr>
      <w:r w:rsidRPr="00F650AF">
        <w:rPr>
          <w:rFonts w:ascii="Arial" w:hAnsi="Arial" w:cs="Arial"/>
          <w:i/>
          <w:iCs/>
          <w:sz w:val="24"/>
          <w:szCs w:val="24"/>
          <w:lang w:val="es-ES"/>
        </w:rPr>
        <w:t>A nivel nacional o interno</w:t>
      </w:r>
    </w:p>
    <w:p w14:paraId="2776747E" w14:textId="77777777" w:rsidR="00C43B94" w:rsidRDefault="00C43B94" w:rsidP="00CA60AF">
      <w:pPr>
        <w:jc w:val="both"/>
        <w:rPr>
          <w:rFonts w:ascii="Arial" w:hAnsi="Arial" w:cs="Arial"/>
          <w:sz w:val="24"/>
          <w:szCs w:val="24"/>
          <w:lang w:val="es-ES"/>
        </w:rPr>
      </w:pPr>
    </w:p>
    <w:p w14:paraId="37C0E31B" w14:textId="0B72B08B" w:rsidR="00C43B94" w:rsidRDefault="00C43B94" w:rsidP="00CA60AF">
      <w:pPr>
        <w:jc w:val="both"/>
        <w:rPr>
          <w:rFonts w:ascii="Arial" w:hAnsi="Arial" w:cs="Arial"/>
          <w:sz w:val="24"/>
          <w:szCs w:val="24"/>
          <w:lang w:val="es-ES"/>
        </w:rPr>
      </w:pPr>
      <w:r>
        <w:rPr>
          <w:rFonts w:ascii="Arial" w:hAnsi="Arial" w:cs="Arial"/>
          <w:sz w:val="24"/>
          <w:szCs w:val="24"/>
          <w:lang w:val="es-ES"/>
        </w:rPr>
        <w:t>También en la LIG</w:t>
      </w:r>
      <w:r w:rsidRPr="00203017">
        <w:rPr>
          <w:rFonts w:ascii="Arial" w:hAnsi="Arial" w:cs="Arial"/>
          <w:sz w:val="24"/>
          <w:szCs w:val="24"/>
          <w:lang w:val="es-ES"/>
        </w:rPr>
        <w:t xml:space="preserve"> tenemos entes que resultan transparentes en relación con sus socios. En tal sentido, son relevantes las personas jurídicas y entes que no tributan en cabeza propia el impuesto a las ganancias. El art</w:t>
      </w:r>
      <w:r>
        <w:rPr>
          <w:rFonts w:ascii="Arial" w:hAnsi="Arial" w:cs="Arial"/>
          <w:sz w:val="24"/>
          <w:szCs w:val="24"/>
          <w:lang w:val="es-ES"/>
        </w:rPr>
        <w:t>. 53</w:t>
      </w:r>
      <w:r w:rsidRPr="00203017">
        <w:rPr>
          <w:rFonts w:ascii="Arial" w:hAnsi="Arial" w:cs="Arial"/>
          <w:sz w:val="24"/>
          <w:szCs w:val="24"/>
          <w:lang w:val="es-ES"/>
        </w:rPr>
        <w:t xml:space="preserve"> inc. b </w:t>
      </w:r>
      <w:r>
        <w:rPr>
          <w:rFonts w:ascii="Arial" w:hAnsi="Arial" w:cs="Arial"/>
          <w:sz w:val="24"/>
          <w:szCs w:val="24"/>
          <w:lang w:val="es-ES"/>
        </w:rPr>
        <w:t xml:space="preserve">– sociedades constituidas en el país no incluidas en el art. 73 </w:t>
      </w:r>
      <w:r w:rsidRPr="00203017">
        <w:rPr>
          <w:rFonts w:ascii="Arial" w:hAnsi="Arial" w:cs="Arial"/>
          <w:sz w:val="24"/>
          <w:szCs w:val="24"/>
          <w:lang w:val="es-ES"/>
        </w:rPr>
        <w:t>(v.g.: sociedad colectiva) o fideicomisos previsto en su inciso c), y también entes no alcanzados por el impuesto, como las uniones transitorias de empresas (U.T.E.)</w:t>
      </w:r>
      <w:r>
        <w:rPr>
          <w:rFonts w:ascii="Arial" w:hAnsi="Arial" w:cs="Arial"/>
          <w:sz w:val="24"/>
          <w:szCs w:val="24"/>
          <w:lang w:val="es-ES"/>
        </w:rPr>
        <w:t>, asociaciones de colaboración empresario (A.C.E.), consorcios de cooperación, y otros entes asociativos</w:t>
      </w:r>
      <w:r w:rsidRPr="00203017">
        <w:rPr>
          <w:rFonts w:ascii="Arial" w:hAnsi="Arial" w:cs="Arial"/>
          <w:sz w:val="24"/>
          <w:szCs w:val="24"/>
          <w:lang w:val="es-ES"/>
        </w:rPr>
        <w:t xml:space="preserve">. </w:t>
      </w:r>
      <w:r w:rsidRPr="001C3AD9">
        <w:rPr>
          <w:rFonts w:ascii="Arial" w:hAnsi="Arial" w:cs="Arial"/>
          <w:sz w:val="24"/>
          <w:szCs w:val="24"/>
          <w:lang w:val="es-ES"/>
        </w:rPr>
        <w:t>A estos contratos no se les aplican las normas sobre la sociedad, no son, ni por medio de ellos se constituyen, personas jurídicas, sociedades ni sujetos de derecho</w:t>
      </w:r>
      <w:r>
        <w:rPr>
          <w:rFonts w:ascii="Arial" w:hAnsi="Arial" w:cs="Arial"/>
          <w:sz w:val="24"/>
          <w:szCs w:val="24"/>
          <w:lang w:val="es-ES"/>
        </w:rPr>
        <w:t>, regulados en el Capítulo 16 del CCyC, arts.1442 al 1478.</w:t>
      </w:r>
    </w:p>
    <w:p w14:paraId="1881D98E" w14:textId="77777777" w:rsidR="00C43B94" w:rsidRDefault="00C43B94" w:rsidP="00CA60AF">
      <w:pPr>
        <w:jc w:val="both"/>
        <w:rPr>
          <w:rFonts w:ascii="Arial" w:hAnsi="Arial" w:cs="Arial"/>
          <w:sz w:val="24"/>
          <w:szCs w:val="24"/>
          <w:lang w:val="es-ES"/>
        </w:rPr>
      </w:pPr>
    </w:p>
    <w:p w14:paraId="07C9759D" w14:textId="295D887E" w:rsidR="00D827AC" w:rsidRDefault="00D827AC" w:rsidP="00CA60AF">
      <w:pPr>
        <w:jc w:val="both"/>
        <w:rPr>
          <w:rFonts w:ascii="Arial" w:hAnsi="Arial" w:cs="Arial"/>
          <w:sz w:val="24"/>
          <w:szCs w:val="24"/>
          <w:lang w:val="es-ES"/>
        </w:rPr>
      </w:pPr>
      <w:r>
        <w:rPr>
          <w:rFonts w:ascii="Arial" w:hAnsi="Arial" w:cs="Arial"/>
          <w:sz w:val="24"/>
          <w:szCs w:val="24"/>
          <w:lang w:val="es-ES"/>
        </w:rPr>
        <w:t>En</w:t>
      </w:r>
      <w:r w:rsidR="00C43B94" w:rsidRPr="00203017">
        <w:rPr>
          <w:rFonts w:ascii="Arial" w:hAnsi="Arial" w:cs="Arial"/>
          <w:sz w:val="24"/>
          <w:szCs w:val="24"/>
          <w:lang w:val="es-ES"/>
        </w:rPr>
        <w:t xml:space="preserve"> definitiva, la decisión de inversión y su implementación, puede ser más eficiente si durante los años, a veces muchos, </w:t>
      </w:r>
      <w:r w:rsidR="003E1ED3" w:rsidRPr="00203017">
        <w:rPr>
          <w:rFonts w:ascii="Arial" w:hAnsi="Arial" w:cs="Arial"/>
          <w:sz w:val="24"/>
          <w:szCs w:val="24"/>
          <w:lang w:val="es-ES"/>
        </w:rPr>
        <w:t xml:space="preserve">de </w:t>
      </w:r>
      <w:r w:rsidR="003E1ED3">
        <w:rPr>
          <w:rFonts w:ascii="Arial" w:hAnsi="Arial" w:cs="Arial"/>
          <w:sz w:val="24"/>
          <w:szCs w:val="24"/>
          <w:lang w:val="es-ES"/>
        </w:rPr>
        <w:t>puesta</w:t>
      </w:r>
      <w:r>
        <w:rPr>
          <w:rFonts w:ascii="Arial" w:hAnsi="Arial" w:cs="Arial"/>
          <w:sz w:val="24"/>
          <w:szCs w:val="24"/>
          <w:lang w:val="es-ES"/>
        </w:rPr>
        <w:t xml:space="preserve"> en marcha o desarrollo con significativas </w:t>
      </w:r>
      <w:r w:rsidR="00C43B94" w:rsidRPr="00203017">
        <w:rPr>
          <w:rFonts w:ascii="Arial" w:hAnsi="Arial" w:cs="Arial"/>
          <w:sz w:val="24"/>
          <w:szCs w:val="24"/>
          <w:lang w:val="es-ES"/>
        </w:rPr>
        <w:t xml:space="preserve">pérdidas se adopta la forma de entidad transparente, y </w:t>
      </w:r>
      <w:r>
        <w:rPr>
          <w:rFonts w:ascii="Arial" w:hAnsi="Arial" w:cs="Arial"/>
          <w:sz w:val="24"/>
          <w:szCs w:val="24"/>
          <w:lang w:val="es-ES"/>
        </w:rPr>
        <w:t>en una instancia posterior</w:t>
      </w:r>
      <w:r w:rsidR="00C43B94" w:rsidRPr="00203017">
        <w:rPr>
          <w:rFonts w:ascii="Arial" w:hAnsi="Arial" w:cs="Arial"/>
          <w:sz w:val="24"/>
          <w:szCs w:val="24"/>
          <w:lang w:val="es-ES"/>
        </w:rPr>
        <w:t xml:space="preserve"> pasar a la opción de sociedad de capital.</w:t>
      </w:r>
    </w:p>
    <w:p w14:paraId="7CDAB218" w14:textId="77777777" w:rsidR="00D827AC" w:rsidRDefault="00D827AC" w:rsidP="00CA60AF">
      <w:pPr>
        <w:jc w:val="both"/>
        <w:rPr>
          <w:rFonts w:ascii="Arial" w:hAnsi="Arial" w:cs="Arial"/>
          <w:sz w:val="24"/>
          <w:szCs w:val="24"/>
          <w:lang w:val="es-ES"/>
        </w:rPr>
      </w:pPr>
    </w:p>
    <w:p w14:paraId="678DC1EC" w14:textId="0061AE50" w:rsidR="00C43B94" w:rsidRDefault="00D827AC" w:rsidP="00CA60AF">
      <w:pPr>
        <w:jc w:val="both"/>
        <w:rPr>
          <w:rFonts w:ascii="Arial" w:hAnsi="Arial" w:cs="Arial"/>
          <w:sz w:val="24"/>
          <w:szCs w:val="24"/>
          <w:lang w:val="es-ES"/>
        </w:rPr>
      </w:pPr>
      <w:r w:rsidRPr="00D827AC">
        <w:t xml:space="preserve"> </w:t>
      </w:r>
      <w:r w:rsidR="003E1ED3" w:rsidRPr="00D827AC">
        <w:rPr>
          <w:rFonts w:ascii="Arial" w:hAnsi="Arial" w:cs="Arial"/>
          <w:sz w:val="24"/>
          <w:szCs w:val="24"/>
          <w:lang w:val="es-ES"/>
        </w:rPr>
        <w:t xml:space="preserve">Una nueva alternativa </w:t>
      </w:r>
      <w:r w:rsidRPr="00D827AC">
        <w:rPr>
          <w:rFonts w:ascii="Arial" w:hAnsi="Arial" w:cs="Arial"/>
          <w:sz w:val="24"/>
          <w:szCs w:val="24"/>
          <w:lang w:val="es-ES"/>
        </w:rPr>
        <w:t>se plantea a partir de la reforma de la ley 27430.</w:t>
      </w:r>
      <w:r>
        <w:rPr>
          <w:rFonts w:ascii="Arial" w:hAnsi="Arial" w:cs="Arial"/>
          <w:sz w:val="24"/>
          <w:szCs w:val="24"/>
          <w:lang w:val="es-ES"/>
        </w:rPr>
        <w:t xml:space="preserve"> E</w:t>
      </w:r>
      <w:r w:rsidR="00C43B94" w:rsidRPr="00203017">
        <w:rPr>
          <w:rFonts w:ascii="Arial" w:hAnsi="Arial" w:cs="Arial"/>
          <w:sz w:val="24"/>
          <w:szCs w:val="24"/>
          <w:lang w:val="es-ES"/>
        </w:rPr>
        <w:t xml:space="preserve">sta </w:t>
      </w:r>
      <w:r w:rsidR="003E1ED3">
        <w:rPr>
          <w:rFonts w:ascii="Arial" w:hAnsi="Arial" w:cs="Arial"/>
          <w:sz w:val="24"/>
          <w:szCs w:val="24"/>
          <w:lang w:val="es-ES"/>
        </w:rPr>
        <w:t>alternativa</w:t>
      </w:r>
      <w:r w:rsidR="00C43B94" w:rsidRPr="00203017">
        <w:rPr>
          <w:rFonts w:ascii="Arial" w:hAnsi="Arial" w:cs="Arial"/>
          <w:sz w:val="24"/>
          <w:szCs w:val="24"/>
          <w:lang w:val="es-ES"/>
        </w:rPr>
        <w:t xml:space="preserve">, </w:t>
      </w:r>
      <w:r w:rsidR="003E1ED3">
        <w:rPr>
          <w:rFonts w:ascii="Arial" w:hAnsi="Arial" w:cs="Arial"/>
          <w:sz w:val="24"/>
          <w:szCs w:val="24"/>
          <w:lang w:val="es-ES"/>
        </w:rPr>
        <w:t xml:space="preserve">se debería evaluar en función </w:t>
      </w:r>
      <w:r w:rsidR="003E1ED3" w:rsidRPr="00203017">
        <w:rPr>
          <w:rFonts w:ascii="Arial" w:hAnsi="Arial" w:cs="Arial"/>
          <w:sz w:val="24"/>
          <w:szCs w:val="24"/>
          <w:lang w:val="es-ES"/>
        </w:rPr>
        <w:t>al</w:t>
      </w:r>
      <w:r w:rsidR="00C43B94" w:rsidRPr="00203017">
        <w:rPr>
          <w:rFonts w:ascii="Arial" w:hAnsi="Arial" w:cs="Arial"/>
          <w:sz w:val="24"/>
          <w:szCs w:val="24"/>
          <w:lang w:val="es-ES"/>
        </w:rPr>
        <w:t xml:space="preserve"> artículo 73 inc. 8, </w:t>
      </w:r>
      <w:r w:rsidR="00C43B94">
        <w:rPr>
          <w:rFonts w:ascii="Arial" w:hAnsi="Arial" w:cs="Arial"/>
          <w:sz w:val="24"/>
          <w:szCs w:val="24"/>
          <w:lang w:val="es-ES"/>
        </w:rPr>
        <w:t xml:space="preserve">que </w:t>
      </w:r>
      <w:r w:rsidR="00C43B94" w:rsidRPr="00203017">
        <w:rPr>
          <w:rFonts w:ascii="Arial" w:hAnsi="Arial" w:cs="Arial"/>
          <w:sz w:val="24"/>
          <w:szCs w:val="24"/>
          <w:lang w:val="es-ES"/>
        </w:rPr>
        <w:t xml:space="preserve">permite </w:t>
      </w:r>
      <w:r w:rsidR="00C43B94">
        <w:rPr>
          <w:rFonts w:ascii="Arial" w:hAnsi="Arial" w:cs="Arial"/>
          <w:sz w:val="24"/>
          <w:szCs w:val="24"/>
          <w:lang w:val="es-ES"/>
        </w:rPr>
        <w:t xml:space="preserve">a </w:t>
      </w:r>
      <w:r w:rsidR="00C43B94" w:rsidRPr="00203017">
        <w:rPr>
          <w:rFonts w:ascii="Arial" w:hAnsi="Arial" w:cs="Arial"/>
          <w:sz w:val="24"/>
          <w:szCs w:val="24"/>
          <w:lang w:val="es-ES"/>
        </w:rPr>
        <w:t xml:space="preserve">entes que tributaban a nivel de sus socios o integrantes se conviertan en sociedades de capital, y en consecuencia los socios solo tributar en la medida que distribuyan utilidades, al dejar de ser transparentes. No hay duda, que esta nueva opción de </w:t>
      </w:r>
      <w:r w:rsidR="00C43B94">
        <w:rPr>
          <w:rFonts w:ascii="Arial" w:hAnsi="Arial" w:cs="Arial"/>
          <w:sz w:val="24"/>
          <w:szCs w:val="24"/>
          <w:lang w:val="es-ES"/>
        </w:rPr>
        <w:t xml:space="preserve">ser a los fines fiscales sociedades de personas o de capital, </w:t>
      </w:r>
      <w:r w:rsidR="00C43B94">
        <w:rPr>
          <w:rFonts w:ascii="Arial" w:hAnsi="Arial" w:cs="Arial"/>
          <w:sz w:val="24"/>
          <w:szCs w:val="24"/>
          <w:lang w:val="es-ES"/>
        </w:rPr>
        <w:lastRenderedPageBreak/>
        <w:t xml:space="preserve">según la opción conveniente del contribuyente, es una herramienta </w:t>
      </w:r>
      <w:r w:rsidR="00C43B94" w:rsidRPr="00203017">
        <w:rPr>
          <w:rFonts w:ascii="Arial" w:hAnsi="Arial" w:cs="Arial"/>
          <w:sz w:val="24"/>
          <w:szCs w:val="24"/>
          <w:lang w:val="es-ES"/>
        </w:rPr>
        <w:t>eficiente para el computo de quebrantos fiscales.</w:t>
      </w:r>
    </w:p>
    <w:p w14:paraId="2E3CB22C" w14:textId="4CE595B6" w:rsidR="00C43B94" w:rsidRDefault="00C43B94" w:rsidP="00CA60AF">
      <w:pPr>
        <w:jc w:val="both"/>
        <w:rPr>
          <w:rFonts w:ascii="Arial" w:hAnsi="Arial" w:cs="Arial"/>
          <w:sz w:val="24"/>
          <w:szCs w:val="24"/>
          <w:lang w:val="es-ES"/>
        </w:rPr>
      </w:pPr>
    </w:p>
    <w:p w14:paraId="1EAD3F29" w14:textId="34BE7E26" w:rsidR="005737C9" w:rsidRPr="009D781C" w:rsidRDefault="009D781C" w:rsidP="00CA60AF">
      <w:pPr>
        <w:jc w:val="both"/>
        <w:rPr>
          <w:rFonts w:ascii="Arial" w:hAnsi="Arial" w:cs="Arial"/>
          <w:i/>
          <w:iCs/>
          <w:sz w:val="24"/>
          <w:szCs w:val="24"/>
          <w:lang w:val="es-ES"/>
        </w:rPr>
      </w:pPr>
      <w:r w:rsidRPr="009D781C">
        <w:rPr>
          <w:rFonts w:ascii="Arial" w:hAnsi="Arial" w:cs="Arial"/>
          <w:i/>
          <w:iCs/>
          <w:sz w:val="24"/>
          <w:szCs w:val="24"/>
          <w:lang w:val="es-ES"/>
        </w:rPr>
        <w:t>Sociedades</w:t>
      </w:r>
      <w:r w:rsidR="00B23726">
        <w:rPr>
          <w:rFonts w:ascii="Arial" w:hAnsi="Arial" w:cs="Arial"/>
          <w:i/>
          <w:iCs/>
          <w:sz w:val="24"/>
          <w:szCs w:val="24"/>
          <w:lang w:val="es-ES"/>
        </w:rPr>
        <w:t xml:space="preserve"> transparentes</w:t>
      </w:r>
      <w:r w:rsidRPr="009D781C">
        <w:rPr>
          <w:rFonts w:ascii="Arial" w:hAnsi="Arial" w:cs="Arial"/>
          <w:i/>
          <w:iCs/>
          <w:sz w:val="24"/>
          <w:szCs w:val="24"/>
          <w:lang w:val="es-ES"/>
        </w:rPr>
        <w:t xml:space="preserve"> </w:t>
      </w:r>
      <w:r w:rsidR="00D827AC">
        <w:rPr>
          <w:rFonts w:ascii="Arial" w:hAnsi="Arial" w:cs="Arial"/>
          <w:i/>
          <w:iCs/>
          <w:sz w:val="24"/>
          <w:szCs w:val="24"/>
          <w:lang w:val="es-ES"/>
        </w:rPr>
        <w:t xml:space="preserve">con socios </w:t>
      </w:r>
      <w:r w:rsidRPr="009D781C">
        <w:rPr>
          <w:rFonts w:ascii="Arial" w:hAnsi="Arial" w:cs="Arial"/>
          <w:i/>
          <w:iCs/>
          <w:sz w:val="24"/>
          <w:szCs w:val="24"/>
          <w:lang w:val="es-ES"/>
        </w:rPr>
        <w:t>personas</w:t>
      </w:r>
      <w:r w:rsidR="00D827AC">
        <w:rPr>
          <w:rFonts w:ascii="Arial" w:hAnsi="Arial" w:cs="Arial"/>
          <w:i/>
          <w:iCs/>
          <w:sz w:val="24"/>
          <w:szCs w:val="24"/>
          <w:lang w:val="es-ES"/>
        </w:rPr>
        <w:t xml:space="preserve"> humanas</w:t>
      </w:r>
      <w:r w:rsidR="00B23726">
        <w:rPr>
          <w:rFonts w:ascii="Arial" w:hAnsi="Arial" w:cs="Arial"/>
          <w:i/>
          <w:iCs/>
          <w:sz w:val="24"/>
          <w:szCs w:val="24"/>
          <w:lang w:val="es-ES"/>
        </w:rPr>
        <w:t xml:space="preserve"> o sociedades de capital</w:t>
      </w:r>
      <w:r w:rsidR="00D827AC">
        <w:rPr>
          <w:rFonts w:ascii="Arial" w:hAnsi="Arial" w:cs="Arial"/>
          <w:i/>
          <w:iCs/>
          <w:sz w:val="24"/>
          <w:szCs w:val="24"/>
          <w:lang w:val="es-ES"/>
        </w:rPr>
        <w:t>.</w:t>
      </w:r>
      <w:r w:rsidRPr="009D781C">
        <w:rPr>
          <w:rFonts w:ascii="Arial" w:hAnsi="Arial" w:cs="Arial"/>
          <w:i/>
          <w:iCs/>
          <w:sz w:val="24"/>
          <w:szCs w:val="24"/>
          <w:lang w:val="es-ES"/>
        </w:rPr>
        <w:t xml:space="preserve"> </w:t>
      </w:r>
    </w:p>
    <w:p w14:paraId="2E3F0A70" w14:textId="438040DB" w:rsidR="009D781C" w:rsidRDefault="009D781C" w:rsidP="00CA60AF">
      <w:pPr>
        <w:jc w:val="both"/>
        <w:rPr>
          <w:rFonts w:ascii="Arial" w:hAnsi="Arial" w:cs="Arial"/>
          <w:sz w:val="24"/>
          <w:szCs w:val="24"/>
          <w:lang w:val="es-ES"/>
        </w:rPr>
      </w:pPr>
    </w:p>
    <w:p w14:paraId="2A44E70E" w14:textId="1748A79B" w:rsidR="009D781C" w:rsidRDefault="009D781C" w:rsidP="00CA60AF">
      <w:pPr>
        <w:jc w:val="both"/>
        <w:rPr>
          <w:rFonts w:ascii="Arial" w:hAnsi="Arial" w:cs="Arial"/>
          <w:sz w:val="24"/>
          <w:szCs w:val="24"/>
          <w:lang w:val="es-ES"/>
        </w:rPr>
      </w:pPr>
    </w:p>
    <w:p w14:paraId="0AE1B04E" w14:textId="44B97F6E" w:rsidR="009D781C" w:rsidRDefault="00D93EC8" w:rsidP="00CA60AF">
      <w:pPr>
        <w:jc w:val="both"/>
        <w:rPr>
          <w:rFonts w:ascii="Arial" w:hAnsi="Arial" w:cs="Arial"/>
          <w:sz w:val="24"/>
          <w:szCs w:val="24"/>
          <w:lang w:val="es-ES"/>
        </w:rPr>
      </w:pPr>
      <w:r>
        <w:rPr>
          <w:rFonts w:ascii="Arial" w:hAnsi="Arial" w:cs="Arial"/>
          <w:noProof/>
          <w:sz w:val="24"/>
          <w:szCs w:val="24"/>
          <w:lang w:eastAsia="es-AR"/>
        </w:rPr>
        <mc:AlternateContent>
          <mc:Choice Requires="wps">
            <w:drawing>
              <wp:anchor distT="0" distB="0" distL="114300" distR="114300" simplePos="0" relativeHeight="251669504" behindDoc="0" locked="0" layoutInCell="1" allowOverlap="1" wp14:anchorId="1B5A77E7" wp14:editId="44643081">
                <wp:simplePos x="0" y="0"/>
                <wp:positionH relativeFrom="column">
                  <wp:posOffset>1844040</wp:posOffset>
                </wp:positionH>
                <wp:positionV relativeFrom="paragraph">
                  <wp:posOffset>170180</wp:posOffset>
                </wp:positionV>
                <wp:extent cx="304800" cy="209550"/>
                <wp:effectExtent l="19050" t="19050" r="19050" b="38100"/>
                <wp:wrapNone/>
                <wp:docPr id="11" name="Flecha: hacia la izquierda 11"/>
                <wp:cNvGraphicFramePr/>
                <a:graphic xmlns:a="http://schemas.openxmlformats.org/drawingml/2006/main">
                  <a:graphicData uri="http://schemas.microsoft.com/office/word/2010/wordprocessingShape">
                    <wps:wsp>
                      <wps:cNvSpPr/>
                      <wps:spPr>
                        <a:xfrm>
                          <a:off x="0" y="0"/>
                          <a:ext cx="304800" cy="209550"/>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50FE0B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echa: hacia la izquierda 11" o:spid="_x0000_s1026" type="#_x0000_t66" style="position:absolute;margin-left:145.2pt;margin-top:13.4pt;width:24pt;height:1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" adj="7425" fillcolor="#4472c4 [3204]" strokecolor="#1f3763 [1604]" strokeweight="1pt"/>
            </w:pict>
          </mc:Fallback>
        </mc:AlternateContent>
      </w:r>
      <w:r w:rsidR="00405A7B">
        <w:rPr>
          <w:rFonts w:ascii="Arial" w:hAnsi="Arial" w:cs="Arial"/>
          <w:noProof/>
          <w:sz w:val="24"/>
          <w:szCs w:val="24"/>
          <w:lang w:eastAsia="es-AR"/>
        </w:rPr>
        <mc:AlternateContent>
          <mc:Choice Requires="wps">
            <w:drawing>
              <wp:anchor distT="0" distB="0" distL="114300" distR="114300" simplePos="0" relativeHeight="251668480" behindDoc="0" locked="0" layoutInCell="1" allowOverlap="1" wp14:anchorId="7BC97EA3" wp14:editId="71FC3A0B">
                <wp:simplePos x="0" y="0"/>
                <wp:positionH relativeFrom="column">
                  <wp:posOffset>4511040</wp:posOffset>
                </wp:positionH>
                <wp:positionV relativeFrom="paragraph">
                  <wp:posOffset>55880</wp:posOffset>
                </wp:positionV>
                <wp:extent cx="1228725" cy="476250"/>
                <wp:effectExtent l="0" t="0" r="28575" b="19050"/>
                <wp:wrapNone/>
                <wp:docPr id="9" name="Cuadro de texto 9"/>
                <wp:cNvGraphicFramePr/>
                <a:graphic xmlns:a="http://schemas.openxmlformats.org/drawingml/2006/main">
                  <a:graphicData uri="http://schemas.microsoft.com/office/word/2010/wordprocessingShape">
                    <wps:wsp>
                      <wps:cNvSpPr txBox="1"/>
                      <wps:spPr>
                        <a:xfrm>
                          <a:off x="0" y="0"/>
                          <a:ext cx="1228725" cy="4762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7C1912C2" w14:textId="7347DE6E" w:rsidR="00CD5C83" w:rsidRPr="003C69AF" w:rsidRDefault="00CD5C83" w:rsidP="007B1B05">
                            <w:pPr>
                              <w:rPr>
                                <w:rFonts w:ascii="Arial" w:hAnsi="Arial" w:cs="Arial"/>
                              </w:rPr>
                            </w:pPr>
                            <w:r w:rsidRPr="003C69AF">
                              <w:rPr>
                                <w:rFonts w:ascii="Arial" w:hAnsi="Arial" w:cs="Arial"/>
                              </w:rPr>
                              <w:t xml:space="preserve"> </w:t>
                            </w:r>
                            <w:r>
                              <w:rPr>
                                <w:rFonts w:ascii="Arial" w:hAnsi="Arial" w:cs="Arial"/>
                              </w:rPr>
                              <w:t>B- sociedad de capital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C97EA3" id="Cuadro de texto 9" o:spid="_x0000_s1029" type="#_x0000_t202" style="position:absolute;left:0;text-align:left;margin-left:355.2pt;margin-top:4.4pt;width:96.75pt;height:3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" fillcolor="white [3201]" strokecolor="#4472c4 [3204]" strokeweight="1pt">
                <v:textbox>
                  <w:txbxContent>
                    <w:p w14:paraId="7C1912C2" w14:textId="7347DE6E" w:rsidR="00CD5C83" w:rsidRPr="003C69AF" w:rsidRDefault="00CD5C83" w:rsidP="007B1B05">
                      <w:pPr>
                        <w:rPr>
                          <w:rFonts w:ascii="Arial" w:hAnsi="Arial" w:cs="Arial"/>
                        </w:rPr>
                      </w:pPr>
                      <w:r w:rsidRPr="003C69AF">
                        <w:rPr>
                          <w:rFonts w:ascii="Arial" w:hAnsi="Arial" w:cs="Arial"/>
                        </w:rPr>
                        <w:t xml:space="preserve"> </w:t>
                      </w:r>
                      <w:r>
                        <w:rPr>
                          <w:rFonts w:ascii="Arial" w:hAnsi="Arial" w:cs="Arial"/>
                        </w:rPr>
                        <w:t>B- sociedad de capital</w:t>
                      </w:r>
                    </w:p>
                  </w:txbxContent>
                </v:textbox>
              </v:shape>
            </w:pict>
          </mc:Fallback>
        </mc:AlternateContent>
      </w:r>
      <w:r w:rsidR="00405A7B">
        <w:rPr>
          <w:rFonts w:ascii="Arial" w:hAnsi="Arial" w:cs="Arial"/>
          <w:noProof/>
          <w:sz w:val="24"/>
          <w:szCs w:val="24"/>
          <w:lang w:eastAsia="es-AR"/>
        </w:rPr>
        <mc:AlternateContent>
          <mc:Choice Requires="wps">
            <w:drawing>
              <wp:anchor distT="0" distB="0" distL="114300" distR="114300" simplePos="0" relativeHeight="251666432" behindDoc="0" locked="0" layoutInCell="1" allowOverlap="1" wp14:anchorId="46290ED4" wp14:editId="551B7BF7">
                <wp:simplePos x="0" y="0"/>
                <wp:positionH relativeFrom="column">
                  <wp:posOffset>405765</wp:posOffset>
                </wp:positionH>
                <wp:positionV relativeFrom="paragraph">
                  <wp:posOffset>36830</wp:posOffset>
                </wp:positionV>
                <wp:extent cx="1228725" cy="476250"/>
                <wp:effectExtent l="0" t="0" r="28575" b="19050"/>
                <wp:wrapNone/>
                <wp:docPr id="8" name="Cuadro de texto 8"/>
                <wp:cNvGraphicFramePr/>
                <a:graphic xmlns:a="http://schemas.openxmlformats.org/drawingml/2006/main">
                  <a:graphicData uri="http://schemas.microsoft.com/office/word/2010/wordprocessingShape">
                    <wps:wsp>
                      <wps:cNvSpPr txBox="1"/>
                      <wps:spPr>
                        <a:xfrm>
                          <a:off x="0" y="0"/>
                          <a:ext cx="1228725" cy="4762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DB72101" w14:textId="6A5E08A9" w:rsidR="00CD5C83" w:rsidRDefault="00CD5C83" w:rsidP="003C69AF">
                            <w:pPr>
                              <w:jc w:val="center"/>
                              <w:rPr>
                                <w:rFonts w:ascii="Arial" w:hAnsi="Arial" w:cs="Arial"/>
                              </w:rPr>
                            </w:pPr>
                            <w:r w:rsidRPr="003C69AF">
                              <w:rPr>
                                <w:rFonts w:ascii="Arial" w:hAnsi="Arial" w:cs="Arial"/>
                              </w:rPr>
                              <w:t>Socio A</w:t>
                            </w:r>
                          </w:p>
                          <w:p w14:paraId="347F1D2D" w14:textId="4BD003EF" w:rsidR="00CD5C83" w:rsidRPr="006270EA" w:rsidRDefault="00CD5C83" w:rsidP="003C69AF">
                            <w:pPr>
                              <w:jc w:val="center"/>
                              <w:rPr>
                                <w:rFonts w:ascii="Arial" w:hAnsi="Arial" w:cs="Arial"/>
                                <w:sz w:val="18"/>
                                <w:szCs w:val="18"/>
                              </w:rPr>
                            </w:pPr>
                            <w:r>
                              <w:rPr>
                                <w:rFonts w:ascii="Arial" w:hAnsi="Arial" w:cs="Arial"/>
                                <w:sz w:val="18"/>
                                <w:szCs w:val="18"/>
                              </w:rPr>
                              <w:t>Persona humana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6290ED4" id="Cuadro de texto 8" o:spid="_x0000_s1030" type="#_x0000_t202" style="position:absolute;left:0;text-align:left;margin-left:31.95pt;margin-top:2.9pt;width:96.75pt;height: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" fillcolor="white [3201]" strokecolor="#4472c4 [3204]" strokeweight="1pt">
                <v:textbox>
                  <w:txbxContent>
                    <w:p w14:paraId="2DB72101" w14:textId="6A5E08A9" w:rsidR="00CD5C83" w:rsidRDefault="00CD5C83" w:rsidP="003C69AF">
                      <w:pPr>
                        <w:jc w:val="center"/>
                        <w:rPr>
                          <w:rFonts w:ascii="Arial" w:hAnsi="Arial" w:cs="Arial"/>
                        </w:rPr>
                      </w:pPr>
                      <w:r w:rsidRPr="003C69AF">
                        <w:rPr>
                          <w:rFonts w:ascii="Arial" w:hAnsi="Arial" w:cs="Arial"/>
                        </w:rPr>
                        <w:t>Socio A</w:t>
                      </w:r>
                    </w:p>
                    <w:p w14:paraId="347F1D2D" w14:textId="4BD003EF" w:rsidR="00CD5C83" w:rsidRPr="006270EA" w:rsidRDefault="00CD5C83" w:rsidP="003C69AF">
                      <w:pPr>
                        <w:jc w:val="center"/>
                        <w:rPr>
                          <w:rFonts w:ascii="Arial" w:hAnsi="Arial" w:cs="Arial"/>
                          <w:sz w:val="18"/>
                          <w:szCs w:val="18"/>
                        </w:rPr>
                      </w:pPr>
                      <w:r>
                        <w:rPr>
                          <w:rFonts w:ascii="Arial" w:hAnsi="Arial" w:cs="Arial"/>
                          <w:sz w:val="18"/>
                          <w:szCs w:val="18"/>
                        </w:rPr>
                        <w:t>Persona humana</w:t>
                      </w:r>
                    </w:p>
                  </w:txbxContent>
                </v:textbox>
              </v:shape>
            </w:pict>
          </mc:Fallback>
        </mc:AlternateContent>
      </w:r>
      <w:r w:rsidR="009D781C">
        <w:rPr>
          <w:rFonts w:ascii="Arial" w:hAnsi="Arial" w:cs="Arial"/>
          <w:noProof/>
          <w:sz w:val="24"/>
          <w:szCs w:val="24"/>
          <w:lang w:eastAsia="es-AR"/>
        </w:rPr>
        <mc:AlternateContent>
          <mc:Choice Requires="wps">
            <w:drawing>
              <wp:anchor distT="0" distB="0" distL="114300" distR="114300" simplePos="0" relativeHeight="251665408" behindDoc="0" locked="0" layoutInCell="1" allowOverlap="1" wp14:anchorId="35F21619" wp14:editId="47E0CBEE">
                <wp:simplePos x="0" y="0"/>
                <wp:positionH relativeFrom="margin">
                  <wp:posOffset>2319020</wp:posOffset>
                </wp:positionH>
                <wp:positionV relativeFrom="paragraph">
                  <wp:posOffset>69850</wp:posOffset>
                </wp:positionV>
                <wp:extent cx="1333500" cy="428625"/>
                <wp:effectExtent l="0" t="0" r="19050" b="28575"/>
                <wp:wrapNone/>
                <wp:docPr id="7" name="Cuadro de texto 7"/>
                <wp:cNvGraphicFramePr/>
                <a:graphic xmlns:a="http://schemas.openxmlformats.org/drawingml/2006/main">
                  <a:graphicData uri="http://schemas.microsoft.com/office/word/2010/wordprocessingShape">
                    <wps:wsp>
                      <wps:cNvSpPr txBox="1"/>
                      <wps:spPr>
                        <a:xfrm>
                          <a:off x="0" y="0"/>
                          <a:ext cx="1333500" cy="428625"/>
                        </a:xfrm>
                        <a:prstGeom prst="rect">
                          <a:avLst/>
                        </a:prstGeom>
                        <a:ln/>
                      </wps:spPr>
                      <wps:style>
                        <a:lnRef idx="2">
                          <a:schemeClr val="dk1"/>
                        </a:lnRef>
                        <a:fillRef idx="1">
                          <a:schemeClr val="lt1"/>
                        </a:fillRef>
                        <a:effectRef idx="0">
                          <a:schemeClr val="dk1"/>
                        </a:effectRef>
                        <a:fontRef idx="minor">
                          <a:schemeClr val="dk1"/>
                        </a:fontRef>
                      </wps:style>
                      <wps:txbx>
                        <w:txbxContent>
                          <w:p w14:paraId="79D56641" w14:textId="0736FABD" w:rsidR="00CD5C83" w:rsidRDefault="00CD5C83" w:rsidP="009D781C">
                            <w:pPr>
                              <w:jc w:val="center"/>
                            </w:pPr>
                            <w:bookmarkStart w:id="3" w:name="OLE_LINK1"/>
                            <w:bookmarkStart w:id="4" w:name="OLE_LINK2"/>
                            <w:bookmarkStart w:id="5" w:name="_Hlk54512460"/>
                            <w:r>
                              <w:t xml:space="preserve">SOCIEDAD DE PERSONAS </w:t>
                            </w:r>
                            <w:bookmarkEnd w:id="3"/>
                            <w:bookmarkEnd w:id="4"/>
                            <w:bookmarkEnd w:id="5"/>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21619" id="Cuadro de texto 7" o:spid="_x0000_s1031" type="#_x0000_t202" style="position:absolute;left:0;text-align:left;margin-left:182.6pt;margin-top:5.5pt;width:105pt;height:33.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" fillcolor="white [3201]" strokecolor="black [3200]" strokeweight="1pt">
                <v:textbox>
                  <w:txbxContent>
                    <w:p w14:paraId="79D56641" w14:textId="0736FABD" w:rsidR="00CD5C83" w:rsidRDefault="00CD5C83" w:rsidP="009D781C">
                      <w:pPr>
                        <w:jc w:val="center"/>
                      </w:pPr>
                      <w:bookmarkStart w:id="6" w:name="OLE_LINK1"/>
                      <w:bookmarkStart w:id="7" w:name="OLE_LINK2"/>
                      <w:bookmarkStart w:id="8" w:name="_Hlk54512460"/>
                      <w:r>
                        <w:t xml:space="preserve">SOCIEDAD DE PERSONAS </w:t>
                      </w:r>
                      <w:bookmarkEnd w:id="6"/>
                      <w:bookmarkEnd w:id="7"/>
                      <w:bookmarkEnd w:id="8"/>
                    </w:p>
                  </w:txbxContent>
                </v:textbox>
                <w10:wrap anchorx="margin"/>
              </v:shape>
            </w:pict>
          </mc:Fallback>
        </mc:AlternateContent>
      </w:r>
    </w:p>
    <w:p w14:paraId="42843D48" w14:textId="36A3B29E" w:rsidR="003F3756" w:rsidRDefault="00D93EC8" w:rsidP="00CA60AF">
      <w:pPr>
        <w:jc w:val="both"/>
        <w:rPr>
          <w:rFonts w:ascii="Arial" w:hAnsi="Arial" w:cs="Arial"/>
          <w:sz w:val="24"/>
          <w:szCs w:val="24"/>
          <w:lang w:val="es-ES"/>
        </w:rPr>
      </w:pPr>
      <w:r>
        <w:rPr>
          <w:rFonts w:ascii="Arial" w:hAnsi="Arial" w:cs="Arial"/>
          <w:noProof/>
          <w:sz w:val="24"/>
          <w:szCs w:val="24"/>
          <w:lang w:eastAsia="es-AR"/>
        </w:rPr>
        <mc:AlternateContent>
          <mc:Choice Requires="wps">
            <w:drawing>
              <wp:anchor distT="0" distB="0" distL="114300" distR="114300" simplePos="0" relativeHeight="251670528" behindDoc="0" locked="0" layoutInCell="1" allowOverlap="1" wp14:anchorId="41081584" wp14:editId="48FCDE23">
                <wp:simplePos x="0" y="0"/>
                <wp:positionH relativeFrom="column">
                  <wp:posOffset>3872865</wp:posOffset>
                </wp:positionH>
                <wp:positionV relativeFrom="paragraph">
                  <wp:posOffset>33020</wp:posOffset>
                </wp:positionV>
                <wp:extent cx="390525" cy="238125"/>
                <wp:effectExtent l="0" t="19050" r="47625" b="47625"/>
                <wp:wrapNone/>
                <wp:docPr id="12" name="Flecha: a la derecha 12"/>
                <wp:cNvGraphicFramePr/>
                <a:graphic xmlns:a="http://schemas.openxmlformats.org/drawingml/2006/main">
                  <a:graphicData uri="http://schemas.microsoft.com/office/word/2010/wordprocessingShape">
                    <wps:wsp>
                      <wps:cNvSpPr/>
                      <wps:spPr>
                        <a:xfrm>
                          <a:off x="0" y="0"/>
                          <a:ext cx="390525" cy="2381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A674B4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a la derecha 12" o:spid="_x0000_s1026" type="#_x0000_t13" style="position:absolute;margin-left:304.95pt;margin-top:2.6pt;width:30.75pt;height:18.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" adj="15015" fillcolor="#4472c4 [3204]" strokecolor="#1f3763 [1604]" strokeweight="1pt"/>
            </w:pict>
          </mc:Fallback>
        </mc:AlternateContent>
      </w:r>
    </w:p>
    <w:p w14:paraId="52008E02" w14:textId="15091808" w:rsidR="003F3756" w:rsidRDefault="003F3756" w:rsidP="00CA60AF">
      <w:pPr>
        <w:jc w:val="both"/>
        <w:rPr>
          <w:rFonts w:ascii="Arial" w:hAnsi="Arial" w:cs="Arial"/>
          <w:sz w:val="24"/>
          <w:szCs w:val="24"/>
          <w:lang w:val="es-ES"/>
        </w:rPr>
      </w:pPr>
    </w:p>
    <w:p w14:paraId="35A93149" w14:textId="53A41BA2" w:rsidR="00405A7B" w:rsidRDefault="00D827AC" w:rsidP="008512A2">
      <w:pPr>
        <w:ind w:firstLine="708"/>
        <w:jc w:val="both"/>
      </w:pPr>
      <w:r>
        <w:rPr>
          <w:rFonts w:ascii="Arial" w:hAnsi="Arial" w:cs="Arial"/>
          <w:sz w:val="24"/>
          <w:szCs w:val="24"/>
          <w:lang w:val="es-ES"/>
        </w:rPr>
        <w:t>Escala hasta</w:t>
      </w:r>
      <w:r w:rsidR="00D93EC8">
        <w:rPr>
          <w:rFonts w:ascii="Arial" w:hAnsi="Arial" w:cs="Arial"/>
          <w:sz w:val="24"/>
          <w:szCs w:val="24"/>
          <w:lang w:val="es-ES"/>
        </w:rPr>
        <w:tab/>
      </w:r>
      <w:r w:rsidR="00B23726">
        <w:rPr>
          <w:rFonts w:ascii="Arial" w:hAnsi="Arial" w:cs="Arial"/>
          <w:sz w:val="24"/>
          <w:szCs w:val="24"/>
          <w:lang w:val="es-ES"/>
        </w:rPr>
        <w:t>35%</w:t>
      </w:r>
      <w:r w:rsidR="00D93EC8">
        <w:rPr>
          <w:rFonts w:ascii="Arial" w:hAnsi="Arial" w:cs="Arial"/>
          <w:sz w:val="24"/>
          <w:szCs w:val="24"/>
          <w:lang w:val="es-ES"/>
        </w:rPr>
        <w:tab/>
      </w:r>
      <w:r w:rsidR="00D93EC8">
        <w:rPr>
          <w:rFonts w:ascii="Arial" w:hAnsi="Arial" w:cs="Arial"/>
          <w:sz w:val="24"/>
          <w:szCs w:val="24"/>
          <w:lang w:val="es-ES"/>
        </w:rPr>
        <w:tab/>
      </w:r>
      <w:r w:rsidR="00D93EC8">
        <w:rPr>
          <w:rFonts w:ascii="Arial" w:hAnsi="Arial" w:cs="Arial"/>
          <w:sz w:val="24"/>
          <w:szCs w:val="24"/>
          <w:lang w:val="es-ES"/>
        </w:rPr>
        <w:tab/>
      </w:r>
      <w:r w:rsidR="00D93EC8">
        <w:rPr>
          <w:rFonts w:ascii="Arial" w:hAnsi="Arial" w:cs="Arial"/>
          <w:sz w:val="24"/>
          <w:szCs w:val="24"/>
          <w:lang w:val="es-ES"/>
        </w:rPr>
        <w:tab/>
      </w:r>
      <w:r w:rsidR="00D93EC8">
        <w:rPr>
          <w:rFonts w:ascii="Arial" w:hAnsi="Arial" w:cs="Arial"/>
          <w:sz w:val="24"/>
          <w:szCs w:val="24"/>
          <w:lang w:val="es-ES"/>
        </w:rPr>
        <w:tab/>
      </w:r>
      <w:r w:rsidR="00D93EC8">
        <w:rPr>
          <w:rFonts w:ascii="Arial" w:hAnsi="Arial" w:cs="Arial"/>
          <w:sz w:val="24"/>
          <w:szCs w:val="24"/>
          <w:lang w:val="es-ES"/>
        </w:rPr>
        <w:tab/>
      </w:r>
      <w:r w:rsidR="00D93EC8">
        <w:rPr>
          <w:rFonts w:ascii="Arial" w:hAnsi="Arial" w:cs="Arial"/>
          <w:sz w:val="24"/>
          <w:szCs w:val="24"/>
          <w:lang w:val="es-ES"/>
        </w:rPr>
        <w:tab/>
      </w:r>
      <w:r w:rsidR="00B23726">
        <w:rPr>
          <w:rFonts w:ascii="Arial" w:hAnsi="Arial" w:cs="Arial"/>
          <w:sz w:val="24"/>
          <w:szCs w:val="24"/>
          <w:lang w:val="es-ES"/>
        </w:rPr>
        <w:t xml:space="preserve"> 30%    </w:t>
      </w:r>
      <w:r w:rsidR="00B23726">
        <w:rPr>
          <w:rFonts w:ascii="Arial" w:hAnsi="Arial" w:cs="Arial"/>
          <w:sz w:val="24"/>
          <w:szCs w:val="24"/>
          <w:lang w:val="es-ES"/>
        </w:rPr>
        <w:tab/>
      </w:r>
      <w:r w:rsidR="00B23726">
        <w:rPr>
          <w:rFonts w:ascii="Arial" w:hAnsi="Arial" w:cs="Arial"/>
          <w:sz w:val="24"/>
          <w:szCs w:val="24"/>
          <w:lang w:val="es-ES"/>
        </w:rPr>
        <w:tab/>
      </w:r>
      <w:r w:rsidR="00B23726">
        <w:rPr>
          <w:rFonts w:ascii="Arial" w:hAnsi="Arial" w:cs="Arial"/>
          <w:sz w:val="24"/>
          <w:szCs w:val="24"/>
          <w:lang w:val="es-ES"/>
        </w:rPr>
        <w:tab/>
      </w:r>
      <w:r w:rsidR="00B23726">
        <w:rPr>
          <w:rFonts w:ascii="Arial" w:hAnsi="Arial" w:cs="Arial"/>
          <w:sz w:val="24"/>
          <w:szCs w:val="24"/>
          <w:lang w:val="es-ES"/>
        </w:rPr>
        <w:tab/>
      </w:r>
      <w:r w:rsidR="00B23726">
        <w:rPr>
          <w:rFonts w:ascii="Arial" w:hAnsi="Arial" w:cs="Arial"/>
          <w:sz w:val="24"/>
          <w:szCs w:val="24"/>
          <w:lang w:val="es-ES"/>
        </w:rPr>
        <w:tab/>
      </w:r>
      <w:r w:rsidR="00B23726">
        <w:rPr>
          <w:rFonts w:ascii="Arial" w:hAnsi="Arial" w:cs="Arial"/>
          <w:sz w:val="24"/>
          <w:szCs w:val="24"/>
          <w:lang w:val="es-ES"/>
        </w:rPr>
        <w:tab/>
      </w:r>
      <w:r w:rsidR="00405A7B">
        <w:t xml:space="preserve">Ganancias / Pérdidas </w:t>
      </w:r>
    </w:p>
    <w:p w14:paraId="6507A75D" w14:textId="71AC7B71" w:rsidR="009D781C" w:rsidRDefault="009D781C" w:rsidP="00CA60AF">
      <w:pPr>
        <w:jc w:val="both"/>
        <w:rPr>
          <w:rFonts w:ascii="Arial" w:hAnsi="Arial" w:cs="Arial"/>
          <w:sz w:val="24"/>
          <w:szCs w:val="24"/>
          <w:lang w:val="es-ES"/>
        </w:rPr>
      </w:pPr>
    </w:p>
    <w:p w14:paraId="643756D0" w14:textId="77777777" w:rsidR="00D93EC8" w:rsidRDefault="00D93EC8" w:rsidP="00CA60AF">
      <w:pPr>
        <w:jc w:val="both"/>
        <w:rPr>
          <w:rFonts w:ascii="Arial" w:hAnsi="Arial" w:cs="Arial"/>
          <w:sz w:val="24"/>
          <w:szCs w:val="24"/>
          <w:lang w:val="es-ES"/>
        </w:rPr>
      </w:pPr>
    </w:p>
    <w:p w14:paraId="688E7734" w14:textId="42E871AE" w:rsidR="008512A2" w:rsidRPr="008512A2" w:rsidRDefault="00C43B94" w:rsidP="006270EA">
      <w:pPr>
        <w:jc w:val="both"/>
        <w:rPr>
          <w:rFonts w:ascii="Arial" w:hAnsi="Arial" w:cs="Arial"/>
          <w:sz w:val="24"/>
          <w:szCs w:val="24"/>
          <w:lang w:val="es-ES"/>
        </w:rPr>
      </w:pPr>
      <w:r>
        <w:rPr>
          <w:rFonts w:ascii="Arial" w:hAnsi="Arial" w:cs="Arial"/>
          <w:sz w:val="24"/>
          <w:szCs w:val="24"/>
          <w:lang w:val="es-ES"/>
        </w:rPr>
        <w:t>En el cuadro precedente se observa, que si el socio es una empresa se recupera el quebranto al 30% o si el socio es una persona física se recupera según la escala hasta el 35%.</w:t>
      </w:r>
      <w:r w:rsidR="00B23726">
        <w:rPr>
          <w:rFonts w:ascii="Arial" w:hAnsi="Arial" w:cs="Arial"/>
          <w:sz w:val="24"/>
          <w:szCs w:val="24"/>
          <w:lang w:val="es-ES"/>
        </w:rPr>
        <w:t xml:space="preserve"> </w:t>
      </w:r>
      <w:r w:rsidR="008512A2" w:rsidRPr="008512A2">
        <w:rPr>
          <w:rFonts w:ascii="Arial" w:hAnsi="Arial" w:cs="Arial"/>
          <w:sz w:val="24"/>
          <w:szCs w:val="24"/>
          <w:lang w:val="es-ES"/>
        </w:rPr>
        <w:t>De manera que la potencial utilización de</w:t>
      </w:r>
      <w:r w:rsidR="006270EA">
        <w:rPr>
          <w:rFonts w:ascii="Arial" w:hAnsi="Arial" w:cs="Arial"/>
          <w:sz w:val="24"/>
          <w:szCs w:val="24"/>
          <w:lang w:val="es-ES"/>
        </w:rPr>
        <w:t>l</w:t>
      </w:r>
      <w:r w:rsidR="008512A2">
        <w:rPr>
          <w:rFonts w:ascii="Arial" w:hAnsi="Arial" w:cs="Arial"/>
          <w:sz w:val="24"/>
          <w:szCs w:val="24"/>
          <w:lang w:val="es-ES"/>
        </w:rPr>
        <w:t xml:space="preserve"> </w:t>
      </w:r>
      <w:r w:rsidR="008512A2" w:rsidRPr="008512A2">
        <w:rPr>
          <w:rFonts w:ascii="Arial" w:hAnsi="Arial" w:cs="Arial"/>
          <w:sz w:val="24"/>
          <w:szCs w:val="24"/>
          <w:lang w:val="es-ES"/>
        </w:rPr>
        <w:t>quebranto, se acelera en la medida que los socios tienen ganancias gravadas, frente a un proyecto cuya generación de ganancias es de largo plazo y afectan la utilización eficiente de los quebrantos.</w:t>
      </w:r>
    </w:p>
    <w:p w14:paraId="3CF217E6" w14:textId="3C7FE7AC" w:rsidR="00C43B94" w:rsidRDefault="00C43B94" w:rsidP="00CA60AF">
      <w:pPr>
        <w:jc w:val="both"/>
        <w:rPr>
          <w:rFonts w:ascii="Arial" w:hAnsi="Arial" w:cs="Arial"/>
          <w:sz w:val="24"/>
          <w:szCs w:val="24"/>
          <w:lang w:val="es-ES"/>
        </w:rPr>
      </w:pPr>
    </w:p>
    <w:p w14:paraId="4BAD2276" w14:textId="77777777" w:rsidR="006722E2" w:rsidRPr="00203017" w:rsidRDefault="006722E2" w:rsidP="00CA60AF">
      <w:pPr>
        <w:jc w:val="both"/>
        <w:rPr>
          <w:rFonts w:ascii="Arial" w:hAnsi="Arial" w:cs="Arial"/>
          <w:sz w:val="24"/>
          <w:szCs w:val="24"/>
          <w:lang w:val="es-ES"/>
        </w:rPr>
      </w:pPr>
    </w:p>
    <w:p w14:paraId="40684288" w14:textId="628E9E91" w:rsidR="00C43B94" w:rsidRPr="003F3756" w:rsidRDefault="00897507" w:rsidP="0093377A">
      <w:pPr>
        <w:rPr>
          <w:rFonts w:ascii="Arial" w:hAnsi="Arial" w:cs="Arial"/>
          <w:b/>
          <w:bCs/>
          <w:sz w:val="24"/>
          <w:szCs w:val="24"/>
          <w:lang w:val="es-ES"/>
        </w:rPr>
      </w:pPr>
      <w:r>
        <w:rPr>
          <w:rFonts w:ascii="Arial" w:hAnsi="Arial" w:cs="Arial"/>
          <w:b/>
          <w:bCs/>
          <w:sz w:val="24"/>
          <w:szCs w:val="24"/>
          <w:lang w:val="es-ES"/>
        </w:rPr>
        <w:t>7</w:t>
      </w:r>
      <w:r w:rsidR="00C43B94" w:rsidRPr="003C69AF">
        <w:rPr>
          <w:rFonts w:ascii="Arial" w:hAnsi="Arial" w:cs="Arial"/>
          <w:b/>
          <w:bCs/>
          <w:sz w:val="24"/>
          <w:szCs w:val="24"/>
          <w:lang w:val="es-ES"/>
        </w:rPr>
        <w:t>.</w:t>
      </w:r>
      <w:r w:rsidR="003C69AF">
        <w:rPr>
          <w:rFonts w:ascii="Arial" w:hAnsi="Arial" w:cs="Arial"/>
          <w:b/>
          <w:bCs/>
          <w:sz w:val="24"/>
          <w:szCs w:val="24"/>
          <w:lang w:val="es-ES"/>
        </w:rPr>
        <w:t xml:space="preserve"> </w:t>
      </w:r>
      <w:r w:rsidR="00C43B94" w:rsidRPr="003C69AF">
        <w:rPr>
          <w:rFonts w:ascii="Arial" w:hAnsi="Arial" w:cs="Arial"/>
          <w:b/>
          <w:bCs/>
          <w:sz w:val="24"/>
          <w:szCs w:val="24"/>
          <w:u w:val="single"/>
          <w:lang w:val="es-ES"/>
        </w:rPr>
        <w:t>Los quebrantos fiscales en la legislación tributaria internacional</w:t>
      </w:r>
      <w:r w:rsidR="003C57BA">
        <w:rPr>
          <w:rStyle w:val="Refdenotaalfinal"/>
          <w:rFonts w:ascii="Arial" w:hAnsi="Arial" w:cs="Arial"/>
          <w:b/>
          <w:bCs/>
          <w:sz w:val="24"/>
          <w:szCs w:val="24"/>
          <w:u w:val="single"/>
          <w:lang w:val="es-ES"/>
        </w:rPr>
        <w:endnoteReference w:id="27"/>
      </w:r>
      <w:r w:rsidR="00C43B94" w:rsidRPr="003F3756">
        <w:rPr>
          <w:rFonts w:ascii="Arial" w:hAnsi="Arial" w:cs="Arial"/>
          <w:b/>
          <w:bCs/>
          <w:sz w:val="24"/>
          <w:szCs w:val="24"/>
          <w:lang w:val="es-ES"/>
        </w:rPr>
        <w:t xml:space="preserve"> </w:t>
      </w:r>
    </w:p>
    <w:p w14:paraId="41488A40" w14:textId="78135402" w:rsidR="00C43B94" w:rsidRDefault="00C43B94" w:rsidP="002F3D20">
      <w:pPr>
        <w:rPr>
          <w:rFonts w:ascii="Arial" w:hAnsi="Arial" w:cs="Arial"/>
          <w:sz w:val="24"/>
          <w:szCs w:val="24"/>
          <w:lang w:val="es-ES"/>
        </w:rPr>
      </w:pPr>
    </w:p>
    <w:tbl>
      <w:tblPr>
        <w:tblStyle w:val="Tabladecuadrcula4-nfasis1"/>
        <w:tblW w:w="8500" w:type="dxa"/>
        <w:tblLook w:val="04A0" w:firstRow="1" w:lastRow="0" w:firstColumn="1" w:lastColumn="0" w:noHBand="0" w:noVBand="1"/>
      </w:tblPr>
      <w:tblGrid>
        <w:gridCol w:w="1488"/>
        <w:gridCol w:w="1564"/>
        <w:gridCol w:w="2557"/>
        <w:gridCol w:w="2891"/>
      </w:tblGrid>
      <w:tr w:rsidR="00C43B94" w14:paraId="5B18F439" w14:textId="77777777" w:rsidTr="00BC5BE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08" w:type="dxa"/>
          </w:tcPr>
          <w:p w14:paraId="27011AB0" w14:textId="38CD5BA1" w:rsidR="00C43B94" w:rsidRDefault="00C43B94" w:rsidP="006245A8">
            <w:pPr>
              <w:jc w:val="center"/>
              <w:rPr>
                <w:rFonts w:ascii="Arial" w:hAnsi="Arial" w:cs="Arial"/>
                <w:sz w:val="24"/>
                <w:szCs w:val="24"/>
                <w:lang w:val="es-ES"/>
              </w:rPr>
            </w:pPr>
            <w:r>
              <w:rPr>
                <w:rFonts w:ascii="Arial" w:hAnsi="Arial" w:cs="Arial"/>
                <w:sz w:val="24"/>
                <w:szCs w:val="24"/>
                <w:lang w:val="es-ES"/>
              </w:rPr>
              <w:t>País</w:t>
            </w:r>
          </w:p>
        </w:tc>
        <w:tc>
          <w:tcPr>
            <w:tcW w:w="1564" w:type="dxa"/>
          </w:tcPr>
          <w:p w14:paraId="7069A57B" w14:textId="7FC04E93" w:rsidR="00C43B94" w:rsidRDefault="00C43B94" w:rsidP="006245A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Traslación</w:t>
            </w:r>
          </w:p>
        </w:tc>
        <w:tc>
          <w:tcPr>
            <w:tcW w:w="2605" w:type="dxa"/>
          </w:tcPr>
          <w:p w14:paraId="1FFE4DD5" w14:textId="3B584339" w:rsidR="00C43B94" w:rsidRDefault="00C43B94" w:rsidP="006245A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Plazo para su cómputo</w:t>
            </w:r>
          </w:p>
        </w:tc>
        <w:tc>
          <w:tcPr>
            <w:tcW w:w="2923" w:type="dxa"/>
          </w:tcPr>
          <w:p w14:paraId="79FC9873" w14:textId="4417B2B4" w:rsidR="00C43B94" w:rsidRDefault="00C43B94" w:rsidP="006245A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Monto computable</w:t>
            </w:r>
          </w:p>
        </w:tc>
      </w:tr>
      <w:tr w:rsidR="00C43B94" w14:paraId="499E0BAA" w14:textId="77777777" w:rsidTr="00BC5B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8" w:type="dxa"/>
          </w:tcPr>
          <w:p w14:paraId="675E1668" w14:textId="08BBB588" w:rsidR="00C43B94" w:rsidRDefault="00C43B94" w:rsidP="002F3D20">
            <w:pPr>
              <w:rPr>
                <w:rFonts w:ascii="Arial" w:hAnsi="Arial" w:cs="Arial"/>
                <w:sz w:val="24"/>
                <w:szCs w:val="24"/>
                <w:lang w:val="es-ES"/>
              </w:rPr>
            </w:pPr>
            <w:r>
              <w:rPr>
                <w:rFonts w:ascii="Arial" w:hAnsi="Arial" w:cs="Arial"/>
                <w:sz w:val="24"/>
                <w:szCs w:val="24"/>
                <w:lang w:val="es-ES"/>
              </w:rPr>
              <w:t>Bolivia</w:t>
            </w:r>
            <w:r>
              <w:rPr>
                <w:rStyle w:val="Refdenotaalfinal"/>
                <w:rFonts w:ascii="Arial" w:hAnsi="Arial" w:cs="Arial"/>
                <w:sz w:val="24"/>
                <w:szCs w:val="24"/>
                <w:lang w:val="es-ES"/>
              </w:rPr>
              <w:endnoteReference w:id="28"/>
            </w:r>
          </w:p>
        </w:tc>
        <w:tc>
          <w:tcPr>
            <w:tcW w:w="1564" w:type="dxa"/>
          </w:tcPr>
          <w:p w14:paraId="1F8E7C9C" w14:textId="5B3A2D58" w:rsidR="00C43B94" w:rsidRDefault="00C43B94"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05" w:type="dxa"/>
          </w:tcPr>
          <w:p w14:paraId="384F2492" w14:textId="6B61C79F" w:rsidR="00C43B94" w:rsidRDefault="00C43B94"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3 años. No se ajustan</w:t>
            </w:r>
          </w:p>
        </w:tc>
        <w:tc>
          <w:tcPr>
            <w:tcW w:w="2923" w:type="dxa"/>
          </w:tcPr>
          <w:p w14:paraId="47A75B69" w14:textId="77777777" w:rsidR="00C43B94" w:rsidRDefault="00C43B94" w:rsidP="00AC4AAE">
            <w:pPr>
              <w:jc w:val="both"/>
              <w:cnfStyle w:val="000000100000" w:firstRow="0" w:lastRow="0" w:firstColumn="0" w:lastColumn="0" w:oddVBand="0" w:evenVBand="0" w:oddHBand="1" w:evenHBand="0" w:firstRowFirstColumn="0" w:firstRowLastColumn="0" w:lastRowFirstColumn="0" w:lastRowLastColumn="0"/>
              <w:rPr>
                <w:rFonts w:ascii="Arial" w:eastAsiaTheme="minorHAnsi" w:hAnsi="Arial" w:cs="Arial"/>
              </w:rPr>
            </w:pPr>
            <w:r>
              <w:rPr>
                <w:rFonts w:ascii="Arial" w:hAnsi="Arial" w:cs="Arial"/>
              </w:rPr>
              <w:t>En el caso de emprendimientos productivos con un capital mínimo de inversión de Bs. 1.000.000 (aproximadamente, unos USD 145.000), las pérdidas podrán deducirse de las utilidades gravadas que se obtengan en los 5 (cinco) años inmediatos siguientes a la fecha de inicio de operaciones. Este plazo también es aplicable a las deducciones de pérdidas por el sector productivo de hidrocarburos y minería.</w:t>
            </w:r>
          </w:p>
          <w:p w14:paraId="4F3ABBD8" w14:textId="77777777" w:rsidR="00C43B94" w:rsidRPr="00F650AF" w:rsidRDefault="00C43B94"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C43B94" w14:paraId="5E5FC5B2" w14:textId="77777777" w:rsidTr="00BC5BE1">
        <w:tc>
          <w:tcPr>
            <w:cnfStyle w:val="001000000000" w:firstRow="0" w:lastRow="0" w:firstColumn="1" w:lastColumn="0" w:oddVBand="0" w:evenVBand="0" w:oddHBand="0" w:evenHBand="0" w:firstRowFirstColumn="0" w:firstRowLastColumn="0" w:lastRowFirstColumn="0" w:lastRowLastColumn="0"/>
            <w:tcW w:w="1408" w:type="dxa"/>
          </w:tcPr>
          <w:p w14:paraId="4F325512" w14:textId="71A451E1" w:rsidR="00C43B94" w:rsidRDefault="00C43B94" w:rsidP="002F3D20">
            <w:pPr>
              <w:rPr>
                <w:rFonts w:ascii="Arial" w:hAnsi="Arial" w:cs="Arial"/>
                <w:sz w:val="24"/>
                <w:szCs w:val="24"/>
                <w:lang w:val="es-ES"/>
              </w:rPr>
            </w:pPr>
            <w:r>
              <w:rPr>
                <w:rFonts w:ascii="Arial" w:hAnsi="Arial" w:cs="Arial"/>
                <w:sz w:val="24"/>
                <w:szCs w:val="24"/>
                <w:lang w:val="es-ES"/>
              </w:rPr>
              <w:t>Brasil</w:t>
            </w:r>
            <w:r>
              <w:rPr>
                <w:rStyle w:val="Refdenotaalfinal"/>
                <w:rFonts w:ascii="Arial" w:hAnsi="Arial" w:cs="Arial"/>
                <w:sz w:val="24"/>
                <w:szCs w:val="24"/>
                <w:lang w:val="es-ES"/>
              </w:rPr>
              <w:endnoteReference w:id="29"/>
            </w:r>
          </w:p>
        </w:tc>
        <w:tc>
          <w:tcPr>
            <w:tcW w:w="1564" w:type="dxa"/>
          </w:tcPr>
          <w:p w14:paraId="58F664FC" w14:textId="5677ED48" w:rsidR="00C43B94" w:rsidRDefault="00C43B94"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Hacia adelante </w:t>
            </w:r>
          </w:p>
        </w:tc>
        <w:tc>
          <w:tcPr>
            <w:tcW w:w="2605" w:type="dxa"/>
          </w:tcPr>
          <w:p w14:paraId="7F8D0264" w14:textId="7DD09656" w:rsidR="00C43B94" w:rsidRDefault="00C43B94"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6A61A0">
              <w:rPr>
                <w:rFonts w:ascii="Arial" w:hAnsi="Arial" w:cs="Arial"/>
                <w:sz w:val="24"/>
                <w:szCs w:val="24"/>
                <w:lang w:val="es-ES"/>
              </w:rPr>
              <w:t>límite</w:t>
            </w:r>
            <w:r>
              <w:rPr>
                <w:rFonts w:ascii="Arial" w:hAnsi="Arial" w:cs="Arial"/>
                <w:sz w:val="24"/>
                <w:szCs w:val="24"/>
                <w:lang w:val="es-ES"/>
              </w:rPr>
              <w:t xml:space="preserve"> de plazo.</w:t>
            </w:r>
          </w:p>
        </w:tc>
        <w:tc>
          <w:tcPr>
            <w:tcW w:w="2923" w:type="dxa"/>
          </w:tcPr>
          <w:p w14:paraId="5FA1B747" w14:textId="58822B29" w:rsidR="00C43B94" w:rsidRDefault="00C43B94"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Tope 30% de las ganancias del ejercicio</w:t>
            </w:r>
          </w:p>
        </w:tc>
      </w:tr>
      <w:tr w:rsidR="00C43B94" w14:paraId="30FC7D1D" w14:textId="77777777" w:rsidTr="00BC5B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8" w:type="dxa"/>
          </w:tcPr>
          <w:p w14:paraId="1B30254B" w14:textId="35946673" w:rsidR="00C43B94" w:rsidRDefault="00C43B94" w:rsidP="002F3D20">
            <w:pPr>
              <w:rPr>
                <w:rFonts w:ascii="Arial" w:hAnsi="Arial" w:cs="Arial"/>
                <w:sz w:val="24"/>
                <w:szCs w:val="24"/>
                <w:lang w:val="es-ES"/>
              </w:rPr>
            </w:pPr>
            <w:r>
              <w:rPr>
                <w:rFonts w:ascii="Arial" w:hAnsi="Arial" w:cs="Arial"/>
                <w:sz w:val="24"/>
                <w:szCs w:val="24"/>
                <w:lang w:val="es-ES"/>
              </w:rPr>
              <w:t>Chile</w:t>
            </w:r>
            <w:r>
              <w:rPr>
                <w:rStyle w:val="Refdenotaalfinal"/>
                <w:rFonts w:ascii="Arial" w:hAnsi="Arial" w:cs="Arial"/>
                <w:sz w:val="24"/>
                <w:szCs w:val="24"/>
                <w:lang w:val="es-ES"/>
              </w:rPr>
              <w:endnoteReference w:id="30"/>
            </w:r>
          </w:p>
        </w:tc>
        <w:tc>
          <w:tcPr>
            <w:tcW w:w="1564" w:type="dxa"/>
          </w:tcPr>
          <w:p w14:paraId="211369BE" w14:textId="07CE8E3B" w:rsidR="00C43B94" w:rsidRDefault="00C43B94"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05" w:type="dxa"/>
          </w:tcPr>
          <w:p w14:paraId="00CC5A0C" w14:textId="4624615F" w:rsidR="00C43B94" w:rsidRDefault="00C43B94"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6A61A0">
              <w:rPr>
                <w:rFonts w:ascii="Arial" w:hAnsi="Arial" w:cs="Arial"/>
                <w:sz w:val="24"/>
                <w:szCs w:val="24"/>
                <w:lang w:val="es-ES"/>
              </w:rPr>
              <w:t>límite</w:t>
            </w:r>
            <w:r>
              <w:rPr>
                <w:rFonts w:ascii="Arial" w:hAnsi="Arial" w:cs="Arial"/>
                <w:sz w:val="24"/>
                <w:szCs w:val="24"/>
                <w:lang w:val="es-ES"/>
              </w:rPr>
              <w:t xml:space="preserve"> de plazo</w:t>
            </w:r>
          </w:p>
        </w:tc>
        <w:tc>
          <w:tcPr>
            <w:tcW w:w="2923" w:type="dxa"/>
          </w:tcPr>
          <w:p w14:paraId="3AA71E6E" w14:textId="7CB84FC0" w:rsidR="00C43B94" w:rsidRDefault="00C43B94"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Hay ajuste por </w:t>
            </w:r>
            <w:r w:rsidR="006A61A0">
              <w:rPr>
                <w:rFonts w:ascii="Arial" w:hAnsi="Arial" w:cs="Arial"/>
                <w:sz w:val="24"/>
                <w:szCs w:val="24"/>
                <w:lang w:val="es-ES"/>
              </w:rPr>
              <w:t>inflación</w:t>
            </w:r>
          </w:p>
        </w:tc>
      </w:tr>
      <w:tr w:rsidR="00C43B94" w14:paraId="4575230A" w14:textId="77777777" w:rsidTr="00BC5BE1">
        <w:tc>
          <w:tcPr>
            <w:cnfStyle w:val="001000000000" w:firstRow="0" w:lastRow="0" w:firstColumn="1" w:lastColumn="0" w:oddVBand="0" w:evenVBand="0" w:oddHBand="0" w:evenHBand="0" w:firstRowFirstColumn="0" w:firstRowLastColumn="0" w:lastRowFirstColumn="0" w:lastRowLastColumn="0"/>
            <w:tcW w:w="1408" w:type="dxa"/>
          </w:tcPr>
          <w:p w14:paraId="61587E60" w14:textId="5DB49D72" w:rsidR="00C43B94" w:rsidRDefault="00C43B94" w:rsidP="002F3D20">
            <w:pPr>
              <w:rPr>
                <w:rFonts w:ascii="Arial" w:hAnsi="Arial" w:cs="Arial"/>
                <w:sz w:val="24"/>
                <w:szCs w:val="24"/>
                <w:lang w:val="es-ES"/>
              </w:rPr>
            </w:pPr>
            <w:r>
              <w:rPr>
                <w:rFonts w:ascii="Arial" w:hAnsi="Arial" w:cs="Arial"/>
                <w:sz w:val="24"/>
                <w:szCs w:val="24"/>
                <w:lang w:val="es-ES"/>
              </w:rPr>
              <w:t>Colombia</w:t>
            </w:r>
            <w:r>
              <w:rPr>
                <w:rStyle w:val="Refdenotaalfinal"/>
                <w:rFonts w:ascii="Arial" w:hAnsi="Arial" w:cs="Arial"/>
                <w:sz w:val="24"/>
                <w:szCs w:val="24"/>
                <w:lang w:val="es-ES"/>
              </w:rPr>
              <w:endnoteReference w:id="31"/>
            </w:r>
            <w:r>
              <w:rPr>
                <w:rFonts w:ascii="Arial" w:hAnsi="Arial" w:cs="Arial"/>
                <w:sz w:val="24"/>
                <w:szCs w:val="24"/>
                <w:lang w:val="es-ES"/>
              </w:rPr>
              <w:t xml:space="preserve"> </w:t>
            </w:r>
          </w:p>
        </w:tc>
        <w:tc>
          <w:tcPr>
            <w:tcW w:w="1564" w:type="dxa"/>
          </w:tcPr>
          <w:p w14:paraId="1AF51599" w14:textId="3452DCC5" w:rsidR="00C43B94" w:rsidRDefault="00C43B94"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05" w:type="dxa"/>
          </w:tcPr>
          <w:p w14:paraId="474A5790" w14:textId="6E2E7A29" w:rsidR="00C43B94" w:rsidRDefault="00C43B94"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12 períodos fiscales</w:t>
            </w:r>
          </w:p>
        </w:tc>
        <w:tc>
          <w:tcPr>
            <w:tcW w:w="2923" w:type="dxa"/>
          </w:tcPr>
          <w:p w14:paraId="0A0E0602" w14:textId="77777777" w:rsidR="00C43B94" w:rsidRDefault="00C43B94"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tc>
      </w:tr>
      <w:tr w:rsidR="00C43B94" w14:paraId="5AFEECBC" w14:textId="77777777" w:rsidTr="00BC5B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8" w:type="dxa"/>
          </w:tcPr>
          <w:p w14:paraId="5FC7464B" w14:textId="6413B191" w:rsidR="00C43B94" w:rsidRDefault="00C43B94" w:rsidP="002F3D20">
            <w:pPr>
              <w:rPr>
                <w:rFonts w:ascii="Arial" w:hAnsi="Arial" w:cs="Arial"/>
                <w:sz w:val="24"/>
                <w:szCs w:val="24"/>
                <w:lang w:val="es-ES"/>
              </w:rPr>
            </w:pPr>
            <w:r>
              <w:rPr>
                <w:rFonts w:ascii="Arial" w:hAnsi="Arial" w:cs="Arial"/>
                <w:sz w:val="24"/>
                <w:szCs w:val="24"/>
                <w:lang w:val="es-ES"/>
              </w:rPr>
              <w:lastRenderedPageBreak/>
              <w:t>Ecuador</w:t>
            </w:r>
            <w:r>
              <w:rPr>
                <w:rStyle w:val="Refdenotaalfinal"/>
                <w:rFonts w:ascii="Arial" w:hAnsi="Arial" w:cs="Arial"/>
                <w:sz w:val="24"/>
                <w:szCs w:val="24"/>
                <w:lang w:val="es-ES"/>
              </w:rPr>
              <w:endnoteReference w:id="32"/>
            </w:r>
            <w:r>
              <w:rPr>
                <w:rFonts w:ascii="Arial" w:hAnsi="Arial" w:cs="Arial"/>
                <w:sz w:val="24"/>
                <w:szCs w:val="24"/>
                <w:lang w:val="es-ES"/>
              </w:rPr>
              <w:t xml:space="preserve"> </w:t>
            </w:r>
          </w:p>
        </w:tc>
        <w:tc>
          <w:tcPr>
            <w:tcW w:w="1564" w:type="dxa"/>
          </w:tcPr>
          <w:p w14:paraId="7AE087EE" w14:textId="54E65B15" w:rsidR="00C43B94" w:rsidRDefault="00C43B94"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05" w:type="dxa"/>
          </w:tcPr>
          <w:p w14:paraId="12CBA9C1" w14:textId="1583CCD1" w:rsidR="00C43B94" w:rsidRDefault="00C43B94"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5 años</w:t>
            </w:r>
          </w:p>
        </w:tc>
        <w:tc>
          <w:tcPr>
            <w:tcW w:w="2923" w:type="dxa"/>
          </w:tcPr>
          <w:p w14:paraId="2A3C00FE" w14:textId="57C58704" w:rsidR="00C43B94" w:rsidRDefault="00C43B94"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25% de la utilidad gravable</w:t>
            </w:r>
          </w:p>
        </w:tc>
      </w:tr>
      <w:tr w:rsidR="00C43B94" w14:paraId="7D23B83D" w14:textId="77777777" w:rsidTr="00BC5BE1">
        <w:tc>
          <w:tcPr>
            <w:cnfStyle w:val="001000000000" w:firstRow="0" w:lastRow="0" w:firstColumn="1" w:lastColumn="0" w:oddVBand="0" w:evenVBand="0" w:oddHBand="0" w:evenHBand="0" w:firstRowFirstColumn="0" w:firstRowLastColumn="0" w:lastRowFirstColumn="0" w:lastRowLastColumn="0"/>
            <w:tcW w:w="1408" w:type="dxa"/>
          </w:tcPr>
          <w:p w14:paraId="45A28909" w14:textId="06A0DD42" w:rsidR="00C43B94" w:rsidRDefault="00C43B94" w:rsidP="002F3D20">
            <w:pPr>
              <w:rPr>
                <w:rFonts w:ascii="Arial" w:hAnsi="Arial" w:cs="Arial"/>
                <w:sz w:val="24"/>
                <w:szCs w:val="24"/>
                <w:lang w:val="es-ES"/>
              </w:rPr>
            </w:pPr>
            <w:r>
              <w:rPr>
                <w:rFonts w:ascii="Arial" w:hAnsi="Arial" w:cs="Arial"/>
                <w:sz w:val="24"/>
                <w:szCs w:val="24"/>
                <w:lang w:val="es-ES"/>
              </w:rPr>
              <w:t>México</w:t>
            </w:r>
            <w:r>
              <w:rPr>
                <w:rStyle w:val="Refdenotaalfinal"/>
                <w:rFonts w:ascii="Arial" w:hAnsi="Arial" w:cs="Arial"/>
                <w:sz w:val="24"/>
                <w:szCs w:val="24"/>
                <w:lang w:val="es-ES"/>
              </w:rPr>
              <w:endnoteReference w:id="33"/>
            </w:r>
          </w:p>
        </w:tc>
        <w:tc>
          <w:tcPr>
            <w:tcW w:w="1564" w:type="dxa"/>
          </w:tcPr>
          <w:p w14:paraId="076FEDC6" w14:textId="59673518" w:rsidR="00C43B94" w:rsidRDefault="00C43B94"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05" w:type="dxa"/>
          </w:tcPr>
          <w:p w14:paraId="6C016DB0" w14:textId="3A81DEB5" w:rsidR="00C43B94" w:rsidRDefault="00C43B94"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10 períodos fiscales</w:t>
            </w:r>
          </w:p>
        </w:tc>
        <w:tc>
          <w:tcPr>
            <w:tcW w:w="2923" w:type="dxa"/>
          </w:tcPr>
          <w:p w14:paraId="0DD9F1F3" w14:textId="2BF429A0" w:rsidR="00C43B94" w:rsidRDefault="00C43B94"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Ciertas actividades tienen plazos mayores (15 años)</w:t>
            </w:r>
          </w:p>
        </w:tc>
      </w:tr>
      <w:tr w:rsidR="006A296E" w14:paraId="2D751C8D" w14:textId="77777777" w:rsidTr="00BC5B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8" w:type="dxa"/>
          </w:tcPr>
          <w:p w14:paraId="61C0AD99" w14:textId="078637AA" w:rsidR="00C43B94" w:rsidRDefault="00C43B94" w:rsidP="0003710B">
            <w:pPr>
              <w:rPr>
                <w:rFonts w:ascii="Arial" w:hAnsi="Arial" w:cs="Arial"/>
                <w:sz w:val="24"/>
                <w:szCs w:val="24"/>
                <w:lang w:val="es-ES"/>
              </w:rPr>
            </w:pPr>
            <w:r>
              <w:rPr>
                <w:rFonts w:ascii="Arial" w:hAnsi="Arial" w:cs="Arial"/>
                <w:sz w:val="24"/>
                <w:szCs w:val="24"/>
                <w:lang w:val="es-ES"/>
              </w:rPr>
              <w:t>Perú</w:t>
            </w:r>
            <w:r>
              <w:rPr>
                <w:rStyle w:val="Refdenotaalfinal"/>
                <w:rFonts w:ascii="Arial" w:hAnsi="Arial" w:cs="Arial"/>
                <w:sz w:val="24"/>
                <w:szCs w:val="24"/>
                <w:lang w:val="es-ES"/>
              </w:rPr>
              <w:endnoteReference w:id="34"/>
            </w:r>
          </w:p>
        </w:tc>
        <w:tc>
          <w:tcPr>
            <w:tcW w:w="1564" w:type="dxa"/>
          </w:tcPr>
          <w:p w14:paraId="37D0B1BB" w14:textId="164711E1" w:rsidR="006A296E" w:rsidRDefault="00142A7E"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 Hay dos mecanismos</w:t>
            </w:r>
          </w:p>
        </w:tc>
        <w:tc>
          <w:tcPr>
            <w:tcW w:w="2605" w:type="dxa"/>
          </w:tcPr>
          <w:p w14:paraId="4E9640BF" w14:textId="26BE80CB" w:rsidR="00142A7E" w:rsidRPr="00F650AF" w:rsidRDefault="00142A7E" w:rsidP="00F650AF">
            <w:pPr>
              <w:spacing w:after="160" w:line="25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 xml:space="preserve">(i) </w:t>
            </w:r>
            <w:r w:rsidRPr="00F650AF">
              <w:rPr>
                <w:rFonts w:ascii="Arial" w:hAnsi="Arial" w:cs="Arial"/>
              </w:rPr>
              <w:t xml:space="preserve">Compensar la pérdida imputándola año a año, hasta agotar su importe, de las rentas del Impuesto a Renta de Tercera Categoría (el aplicable a sociedades) que se obtengan en los 4 (cuatro) ejercicios inmediatos siguientes desde su generación. El saldo que no se computa en ese término, se pierde. </w:t>
            </w:r>
          </w:p>
          <w:p w14:paraId="5C3F2308" w14:textId="06CE3680" w:rsidR="006A296E" w:rsidRPr="00F650AF" w:rsidRDefault="00142A7E" w:rsidP="00F650AF">
            <w:pPr>
              <w:spacing w:after="160" w:line="25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rPr>
              <w:t xml:space="preserve">(ii) </w:t>
            </w:r>
            <w:r w:rsidRPr="00F650AF">
              <w:rPr>
                <w:rFonts w:ascii="Arial" w:hAnsi="Arial" w:cs="Arial"/>
              </w:rPr>
              <w:t>Compensar la pérdida año a año, hasta agotar su importe, pero hasta el 50% de las rentas, aunque sin límite de ejercicios.</w:t>
            </w:r>
          </w:p>
        </w:tc>
        <w:tc>
          <w:tcPr>
            <w:tcW w:w="2923" w:type="dxa"/>
          </w:tcPr>
          <w:p w14:paraId="7D2FCA69" w14:textId="77777777" w:rsidR="006A296E" w:rsidRDefault="006A296E" w:rsidP="002F3D20">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p>
        </w:tc>
      </w:tr>
      <w:tr w:rsidR="006A296E" w14:paraId="78376319" w14:textId="77777777" w:rsidTr="00BC5BE1">
        <w:trPr>
          <w:trHeight w:val="1097"/>
        </w:trPr>
        <w:tc>
          <w:tcPr>
            <w:cnfStyle w:val="001000000000" w:firstRow="0" w:lastRow="0" w:firstColumn="1" w:lastColumn="0" w:oddVBand="0" w:evenVBand="0" w:oddHBand="0" w:evenHBand="0" w:firstRowFirstColumn="0" w:firstRowLastColumn="0" w:lastRowFirstColumn="0" w:lastRowLastColumn="0"/>
            <w:tcW w:w="1408" w:type="dxa"/>
          </w:tcPr>
          <w:p w14:paraId="0003D625" w14:textId="77777777" w:rsidR="006A296E" w:rsidRDefault="006A296E" w:rsidP="006A296E">
            <w:pPr>
              <w:rPr>
                <w:rFonts w:ascii="Arial" w:hAnsi="Arial" w:cs="Arial"/>
                <w:sz w:val="24"/>
                <w:szCs w:val="24"/>
                <w:lang w:val="es-ES"/>
              </w:rPr>
            </w:pPr>
            <w:r>
              <w:rPr>
                <w:rFonts w:ascii="Arial" w:hAnsi="Arial" w:cs="Arial"/>
                <w:sz w:val="24"/>
                <w:szCs w:val="24"/>
                <w:lang w:val="es-ES"/>
              </w:rPr>
              <w:t>Uruguay</w:t>
            </w:r>
          </w:p>
          <w:p w14:paraId="26480917" w14:textId="77777777" w:rsidR="00A87CB6" w:rsidRDefault="00A87CB6" w:rsidP="006A296E">
            <w:pPr>
              <w:rPr>
                <w:rFonts w:ascii="Arial" w:hAnsi="Arial" w:cs="Arial"/>
                <w:sz w:val="24"/>
                <w:szCs w:val="24"/>
                <w:lang w:val="es-ES"/>
              </w:rPr>
            </w:pPr>
          </w:p>
          <w:p w14:paraId="7A0BD370" w14:textId="5F189E27" w:rsidR="00A87CB6" w:rsidRDefault="00A87CB6" w:rsidP="006A61A0">
            <w:pPr>
              <w:rPr>
                <w:rFonts w:ascii="Arial" w:hAnsi="Arial" w:cs="Arial"/>
                <w:sz w:val="24"/>
                <w:szCs w:val="24"/>
                <w:lang w:val="es-ES"/>
              </w:rPr>
            </w:pPr>
          </w:p>
        </w:tc>
        <w:tc>
          <w:tcPr>
            <w:tcW w:w="1564" w:type="dxa"/>
          </w:tcPr>
          <w:p w14:paraId="32BB694C" w14:textId="742CEAE4" w:rsidR="006A296E" w:rsidRDefault="003871FB"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Hacia adelante </w:t>
            </w:r>
          </w:p>
        </w:tc>
        <w:tc>
          <w:tcPr>
            <w:tcW w:w="2605" w:type="dxa"/>
          </w:tcPr>
          <w:p w14:paraId="713F9D14" w14:textId="77777777" w:rsidR="006A296E" w:rsidRDefault="003871FB"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5 años </w:t>
            </w:r>
          </w:p>
          <w:p w14:paraId="54C0740C" w14:textId="77777777" w:rsidR="00A87CB6" w:rsidRDefault="00A87CB6"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p w14:paraId="5AC35AF4" w14:textId="57873754" w:rsidR="00A87CB6" w:rsidRDefault="00A87CB6" w:rsidP="006A61A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tc>
        <w:tc>
          <w:tcPr>
            <w:tcW w:w="2923" w:type="dxa"/>
          </w:tcPr>
          <w:p w14:paraId="552635B6" w14:textId="25E5040E" w:rsidR="006A296E" w:rsidRDefault="003871FB" w:rsidP="002F3D20">
            <w:pPr>
              <w:cnfStyle w:val="000000000000" w:firstRow="0" w:lastRow="0" w:firstColumn="0" w:lastColumn="0" w:oddVBand="0" w:evenVBand="0" w:oddHBand="0" w:evenHBand="0" w:firstRowFirstColumn="0" w:firstRowLastColumn="0" w:lastRowFirstColumn="0" w:lastRowLastColumn="0"/>
              <w:rPr>
                <w:rFonts w:ascii="Arial" w:hAnsi="Arial" w:cs="Arial"/>
                <w:color w:val="000000"/>
                <w:shd w:val="clear" w:color="auto" w:fill="FFFFFF"/>
              </w:rPr>
            </w:pPr>
            <w:r>
              <w:rPr>
                <w:rFonts w:ascii="Arial" w:hAnsi="Arial" w:cs="Arial"/>
                <w:color w:val="000000"/>
                <w:shd w:val="clear" w:color="auto" w:fill="FFFFFF"/>
              </w:rPr>
              <w:t>50% (cincuenta por ciento) de la renta neta fiscal</w:t>
            </w:r>
            <w:r w:rsidR="006A61A0">
              <w:rPr>
                <w:rFonts w:ascii="Arial" w:hAnsi="Arial" w:cs="Arial"/>
                <w:color w:val="000000"/>
                <w:shd w:val="clear" w:color="auto" w:fill="FFFFFF"/>
              </w:rPr>
              <w:t>.</w:t>
            </w:r>
          </w:p>
          <w:p w14:paraId="0BE6617E" w14:textId="0FD84F08" w:rsidR="00A87CB6" w:rsidRDefault="00A87CB6" w:rsidP="002F3D20">
            <w:pPr>
              <w:cnfStyle w:val="000000000000" w:firstRow="0" w:lastRow="0" w:firstColumn="0" w:lastColumn="0" w:oddVBand="0" w:evenVBand="0" w:oddHBand="0" w:evenHBand="0" w:firstRowFirstColumn="0" w:firstRowLastColumn="0" w:lastRowFirstColumn="0" w:lastRowLastColumn="0"/>
              <w:rPr>
                <w:rFonts w:ascii="Arial" w:hAnsi="Arial" w:cs="Arial"/>
                <w:color w:val="000000"/>
                <w:shd w:val="clear" w:color="auto" w:fill="FFFFFF"/>
              </w:rPr>
            </w:pPr>
            <w:r>
              <w:rPr>
                <w:rFonts w:ascii="Arial" w:hAnsi="Arial" w:cs="Arial"/>
                <w:color w:val="000000"/>
                <w:shd w:val="clear" w:color="auto" w:fill="FFFFFF"/>
              </w:rPr>
              <w:t>Hay ajuste por inflación.</w:t>
            </w:r>
          </w:p>
          <w:p w14:paraId="13853463" w14:textId="35E777A9" w:rsidR="00A87CB6" w:rsidRDefault="00A87CB6" w:rsidP="002F3D20">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tc>
      </w:tr>
    </w:tbl>
    <w:p w14:paraId="340F6EBE" w14:textId="6EF82C3D" w:rsidR="002F3D20" w:rsidRDefault="002F3D20" w:rsidP="006A61A0">
      <w:pPr>
        <w:jc w:val="both"/>
        <w:rPr>
          <w:rFonts w:ascii="Arial" w:hAnsi="Arial" w:cs="Arial"/>
          <w:sz w:val="24"/>
          <w:szCs w:val="24"/>
          <w:lang w:val="es-ES"/>
        </w:rPr>
      </w:pPr>
    </w:p>
    <w:p w14:paraId="559894AE" w14:textId="5BA9E2E1" w:rsidR="00B974B1" w:rsidRDefault="009E6E65" w:rsidP="006A61A0">
      <w:pPr>
        <w:jc w:val="both"/>
        <w:rPr>
          <w:rFonts w:ascii="Arial" w:hAnsi="Arial" w:cs="Arial"/>
          <w:sz w:val="24"/>
          <w:szCs w:val="24"/>
          <w:lang w:val="es-ES"/>
        </w:rPr>
      </w:pPr>
      <w:r>
        <w:rPr>
          <w:rFonts w:ascii="Arial" w:hAnsi="Arial" w:cs="Arial"/>
          <w:sz w:val="24"/>
          <w:szCs w:val="24"/>
          <w:lang w:val="es-ES"/>
        </w:rPr>
        <w:t xml:space="preserve">En este primer grupo de países hemos involucrado a países de la región latinoamericana, y </w:t>
      </w:r>
      <w:r w:rsidR="00D827AC">
        <w:rPr>
          <w:rFonts w:ascii="Arial" w:hAnsi="Arial" w:cs="Arial"/>
          <w:sz w:val="24"/>
          <w:szCs w:val="24"/>
          <w:lang w:val="es-ES"/>
        </w:rPr>
        <w:t xml:space="preserve">constatamos que </w:t>
      </w:r>
      <w:r>
        <w:rPr>
          <w:rFonts w:ascii="Arial" w:hAnsi="Arial" w:cs="Arial"/>
          <w:sz w:val="24"/>
          <w:szCs w:val="24"/>
          <w:lang w:val="es-ES"/>
        </w:rPr>
        <w:t xml:space="preserve">los países </w:t>
      </w:r>
      <w:r w:rsidR="00485D81">
        <w:rPr>
          <w:rFonts w:ascii="Arial" w:hAnsi="Arial" w:cs="Arial"/>
          <w:sz w:val="24"/>
          <w:szCs w:val="24"/>
          <w:lang w:val="es-ES"/>
        </w:rPr>
        <w:t xml:space="preserve">comparables </w:t>
      </w:r>
      <w:r w:rsidR="006A61A0">
        <w:rPr>
          <w:rFonts w:ascii="Arial" w:hAnsi="Arial" w:cs="Arial"/>
          <w:sz w:val="24"/>
          <w:szCs w:val="24"/>
          <w:lang w:val="es-ES"/>
        </w:rPr>
        <w:t>más</w:t>
      </w:r>
      <w:r>
        <w:rPr>
          <w:rFonts w:ascii="Arial" w:hAnsi="Arial" w:cs="Arial"/>
          <w:sz w:val="24"/>
          <w:szCs w:val="24"/>
          <w:lang w:val="es-ES"/>
        </w:rPr>
        <w:t xml:space="preserve"> relevantes no tienen un plazo de afectación de los quebrantos (Brasil, Chile y </w:t>
      </w:r>
      <w:r w:rsidR="006A61A0">
        <w:rPr>
          <w:rFonts w:ascii="Arial" w:hAnsi="Arial" w:cs="Arial"/>
          <w:sz w:val="24"/>
          <w:szCs w:val="24"/>
          <w:lang w:val="es-ES"/>
        </w:rPr>
        <w:t>México</w:t>
      </w:r>
      <w:r>
        <w:rPr>
          <w:rFonts w:ascii="Arial" w:hAnsi="Arial" w:cs="Arial"/>
          <w:sz w:val="24"/>
          <w:szCs w:val="24"/>
          <w:lang w:val="es-ES"/>
        </w:rPr>
        <w:t xml:space="preserve">) y </w:t>
      </w:r>
      <w:r w:rsidR="006A61A0">
        <w:rPr>
          <w:rFonts w:ascii="Arial" w:hAnsi="Arial" w:cs="Arial"/>
          <w:sz w:val="24"/>
          <w:szCs w:val="24"/>
          <w:lang w:val="es-ES"/>
        </w:rPr>
        <w:t>prevén</w:t>
      </w:r>
      <w:r>
        <w:rPr>
          <w:rFonts w:ascii="Arial" w:hAnsi="Arial" w:cs="Arial"/>
          <w:sz w:val="24"/>
          <w:szCs w:val="24"/>
          <w:lang w:val="es-ES"/>
        </w:rPr>
        <w:t xml:space="preserve"> su preservación a moneda constante</w:t>
      </w:r>
      <w:r w:rsidR="00485D81">
        <w:rPr>
          <w:rFonts w:ascii="Arial" w:hAnsi="Arial" w:cs="Arial"/>
          <w:sz w:val="24"/>
          <w:szCs w:val="24"/>
          <w:lang w:val="es-ES"/>
        </w:rPr>
        <w:t xml:space="preserve">, en algunos casos se pueden computar hasta cierto porcentaje </w:t>
      </w:r>
      <w:r w:rsidR="000B6B88">
        <w:rPr>
          <w:rFonts w:ascii="Arial" w:hAnsi="Arial" w:cs="Arial"/>
          <w:sz w:val="24"/>
          <w:szCs w:val="24"/>
          <w:lang w:val="es-ES"/>
        </w:rPr>
        <w:t xml:space="preserve">de </w:t>
      </w:r>
      <w:r w:rsidR="00AB6A5D">
        <w:rPr>
          <w:rFonts w:ascii="Arial" w:hAnsi="Arial" w:cs="Arial"/>
          <w:sz w:val="24"/>
          <w:szCs w:val="24"/>
          <w:lang w:val="es-ES"/>
        </w:rPr>
        <w:t>las ganancias</w:t>
      </w:r>
      <w:r w:rsidR="000B6B88">
        <w:rPr>
          <w:rFonts w:ascii="Arial" w:hAnsi="Arial" w:cs="Arial"/>
          <w:sz w:val="24"/>
          <w:szCs w:val="24"/>
          <w:lang w:val="es-ES"/>
        </w:rPr>
        <w:t xml:space="preserve"> </w:t>
      </w:r>
      <w:r>
        <w:rPr>
          <w:rFonts w:ascii="Arial" w:hAnsi="Arial" w:cs="Arial"/>
          <w:sz w:val="24"/>
          <w:szCs w:val="24"/>
          <w:lang w:val="es-ES"/>
        </w:rPr>
        <w:t>en términos generales</w:t>
      </w:r>
      <w:r w:rsidR="006A61A0">
        <w:rPr>
          <w:rFonts w:ascii="Arial" w:hAnsi="Arial" w:cs="Arial"/>
          <w:sz w:val="24"/>
          <w:szCs w:val="24"/>
          <w:lang w:val="es-ES"/>
        </w:rPr>
        <w:t>.</w:t>
      </w:r>
    </w:p>
    <w:p w14:paraId="08B86BA3" w14:textId="77777777" w:rsidR="00B974B1" w:rsidRDefault="00B974B1" w:rsidP="006A61A0">
      <w:pPr>
        <w:jc w:val="both"/>
        <w:rPr>
          <w:rFonts w:ascii="Arial" w:hAnsi="Arial" w:cs="Arial"/>
          <w:sz w:val="24"/>
          <w:szCs w:val="24"/>
          <w:lang w:val="es-ES"/>
        </w:rPr>
      </w:pPr>
    </w:p>
    <w:p w14:paraId="41C6028B" w14:textId="5ACB3D82" w:rsidR="009E6E65" w:rsidRDefault="00485D81" w:rsidP="006A61A0">
      <w:pPr>
        <w:jc w:val="both"/>
        <w:rPr>
          <w:rFonts w:ascii="Arial" w:hAnsi="Arial" w:cs="Arial"/>
          <w:sz w:val="24"/>
          <w:szCs w:val="24"/>
          <w:lang w:val="es-ES"/>
        </w:rPr>
      </w:pPr>
      <w:r>
        <w:rPr>
          <w:rFonts w:ascii="Arial" w:hAnsi="Arial" w:cs="Arial"/>
          <w:sz w:val="24"/>
          <w:szCs w:val="24"/>
          <w:lang w:val="es-ES"/>
        </w:rPr>
        <w:t>En conclusión, para log</w:t>
      </w:r>
      <w:r w:rsidR="006A61A0">
        <w:rPr>
          <w:rFonts w:ascii="Arial" w:hAnsi="Arial" w:cs="Arial"/>
          <w:sz w:val="24"/>
          <w:szCs w:val="24"/>
          <w:lang w:val="es-ES"/>
        </w:rPr>
        <w:t>r</w:t>
      </w:r>
      <w:r>
        <w:rPr>
          <w:rFonts w:ascii="Arial" w:hAnsi="Arial" w:cs="Arial"/>
          <w:sz w:val="24"/>
          <w:szCs w:val="24"/>
          <w:lang w:val="es-ES"/>
        </w:rPr>
        <w:t xml:space="preserve">ar una </w:t>
      </w:r>
      <w:r w:rsidR="006A61A0">
        <w:rPr>
          <w:rFonts w:ascii="Arial" w:hAnsi="Arial" w:cs="Arial"/>
          <w:sz w:val="24"/>
          <w:szCs w:val="24"/>
          <w:lang w:val="es-ES"/>
        </w:rPr>
        <w:t xml:space="preserve">equiparación </w:t>
      </w:r>
      <w:r>
        <w:rPr>
          <w:rFonts w:ascii="Arial" w:hAnsi="Arial" w:cs="Arial"/>
          <w:sz w:val="24"/>
          <w:szCs w:val="24"/>
          <w:lang w:val="es-ES"/>
        </w:rPr>
        <w:t xml:space="preserve">en la </w:t>
      </w:r>
      <w:r w:rsidR="006A61A0">
        <w:rPr>
          <w:rFonts w:ascii="Arial" w:hAnsi="Arial" w:cs="Arial"/>
          <w:sz w:val="24"/>
          <w:szCs w:val="24"/>
          <w:lang w:val="es-ES"/>
        </w:rPr>
        <w:t>región</w:t>
      </w:r>
      <w:r>
        <w:rPr>
          <w:rFonts w:ascii="Arial" w:hAnsi="Arial" w:cs="Arial"/>
          <w:sz w:val="24"/>
          <w:szCs w:val="24"/>
          <w:lang w:val="es-ES"/>
        </w:rPr>
        <w:t xml:space="preserve"> que no genere un sesgo contrario a invertir en Argentina, entendemos relevante </w:t>
      </w:r>
      <w:r w:rsidR="006A61A0">
        <w:rPr>
          <w:rFonts w:ascii="Arial" w:hAnsi="Arial" w:cs="Arial"/>
          <w:sz w:val="24"/>
          <w:szCs w:val="24"/>
          <w:lang w:val="es-ES"/>
        </w:rPr>
        <w:t xml:space="preserve">armonizar </w:t>
      </w:r>
      <w:r>
        <w:rPr>
          <w:rFonts w:ascii="Arial" w:hAnsi="Arial" w:cs="Arial"/>
          <w:sz w:val="24"/>
          <w:szCs w:val="24"/>
          <w:lang w:val="es-ES"/>
        </w:rPr>
        <w:t xml:space="preserve">el plazo de </w:t>
      </w:r>
      <w:r w:rsidR="006A61A0">
        <w:rPr>
          <w:rFonts w:ascii="Arial" w:hAnsi="Arial" w:cs="Arial"/>
          <w:sz w:val="24"/>
          <w:szCs w:val="24"/>
          <w:lang w:val="es-ES"/>
        </w:rPr>
        <w:t>traslación</w:t>
      </w:r>
      <w:r>
        <w:rPr>
          <w:rFonts w:ascii="Arial" w:hAnsi="Arial" w:cs="Arial"/>
          <w:sz w:val="24"/>
          <w:szCs w:val="24"/>
          <w:lang w:val="es-ES"/>
        </w:rPr>
        <w:t xml:space="preserve"> -para compensar en términos recaudatorios poner </w:t>
      </w:r>
      <w:r w:rsidR="006A61A0">
        <w:rPr>
          <w:rFonts w:ascii="Arial" w:hAnsi="Arial" w:cs="Arial"/>
          <w:sz w:val="24"/>
          <w:szCs w:val="24"/>
          <w:lang w:val="es-ES"/>
        </w:rPr>
        <w:t>algún</w:t>
      </w:r>
      <w:r>
        <w:rPr>
          <w:rFonts w:ascii="Arial" w:hAnsi="Arial" w:cs="Arial"/>
          <w:sz w:val="24"/>
          <w:szCs w:val="24"/>
          <w:lang w:val="es-ES"/>
        </w:rPr>
        <w:t xml:space="preserve"> limite al </w:t>
      </w:r>
      <w:r w:rsidR="006A61A0">
        <w:rPr>
          <w:rFonts w:ascii="Arial" w:hAnsi="Arial" w:cs="Arial"/>
          <w:sz w:val="24"/>
          <w:szCs w:val="24"/>
          <w:lang w:val="es-ES"/>
        </w:rPr>
        <w:t>cómputo</w:t>
      </w:r>
      <w:r>
        <w:rPr>
          <w:rFonts w:ascii="Arial" w:hAnsi="Arial" w:cs="Arial"/>
          <w:sz w:val="24"/>
          <w:szCs w:val="24"/>
          <w:lang w:val="es-ES"/>
        </w:rPr>
        <w:t xml:space="preserve"> del mismo</w:t>
      </w:r>
      <w:r w:rsidR="000B6B88">
        <w:rPr>
          <w:rFonts w:ascii="Arial" w:hAnsi="Arial" w:cs="Arial"/>
          <w:sz w:val="24"/>
          <w:szCs w:val="24"/>
          <w:lang w:val="es-ES"/>
        </w:rPr>
        <w:t xml:space="preserve"> respecto de la ganancia futura, siendo posible discriminar entre PyMES, nuevas entidades y otros sujetos</w:t>
      </w:r>
      <w:r>
        <w:rPr>
          <w:rFonts w:ascii="Arial" w:hAnsi="Arial" w:cs="Arial"/>
          <w:sz w:val="24"/>
          <w:szCs w:val="24"/>
          <w:lang w:val="es-ES"/>
        </w:rPr>
        <w:t xml:space="preserve">- y </w:t>
      </w:r>
      <w:r w:rsidRPr="006245A8">
        <w:rPr>
          <w:rFonts w:ascii="Arial" w:hAnsi="Arial" w:cs="Arial"/>
          <w:sz w:val="24"/>
          <w:szCs w:val="24"/>
          <w:u w:val="single"/>
          <w:lang w:val="es-ES"/>
        </w:rPr>
        <w:t xml:space="preserve">lo </w:t>
      </w:r>
      <w:r w:rsidR="006A61A0" w:rsidRPr="006245A8">
        <w:rPr>
          <w:rFonts w:ascii="Arial" w:hAnsi="Arial" w:cs="Arial"/>
          <w:sz w:val="24"/>
          <w:szCs w:val="24"/>
          <w:u w:val="single"/>
          <w:lang w:val="es-ES"/>
        </w:rPr>
        <w:t>más</w:t>
      </w:r>
      <w:r w:rsidRPr="006245A8">
        <w:rPr>
          <w:rFonts w:ascii="Arial" w:hAnsi="Arial" w:cs="Arial"/>
          <w:sz w:val="24"/>
          <w:szCs w:val="24"/>
          <w:u w:val="single"/>
          <w:lang w:val="es-ES"/>
        </w:rPr>
        <w:t xml:space="preserve"> relevante asegurar su computo en moneda constante al no importar el plazo para su </w:t>
      </w:r>
      <w:r w:rsidR="000B6B88">
        <w:rPr>
          <w:rFonts w:ascii="Arial" w:hAnsi="Arial" w:cs="Arial"/>
          <w:sz w:val="24"/>
          <w:szCs w:val="24"/>
          <w:u w:val="single"/>
          <w:lang w:val="es-ES"/>
        </w:rPr>
        <w:t>utilización definitiva.</w:t>
      </w:r>
    </w:p>
    <w:p w14:paraId="4FAB11B9" w14:textId="77777777" w:rsidR="006A296E" w:rsidRDefault="006A296E" w:rsidP="002F3D20">
      <w:pPr>
        <w:rPr>
          <w:rFonts w:ascii="Arial" w:hAnsi="Arial" w:cs="Arial"/>
          <w:sz w:val="24"/>
          <w:szCs w:val="24"/>
          <w:lang w:val="es-ES"/>
        </w:rPr>
      </w:pPr>
    </w:p>
    <w:tbl>
      <w:tblPr>
        <w:tblStyle w:val="Tabladecuadrcula4-nfasis1"/>
        <w:tblW w:w="8500" w:type="dxa"/>
        <w:tblLook w:val="04A0" w:firstRow="1" w:lastRow="0" w:firstColumn="1" w:lastColumn="0" w:noHBand="0" w:noVBand="1"/>
      </w:tblPr>
      <w:tblGrid>
        <w:gridCol w:w="1444"/>
        <w:gridCol w:w="1417"/>
        <w:gridCol w:w="2670"/>
        <w:gridCol w:w="2969"/>
      </w:tblGrid>
      <w:tr w:rsidR="006A296E" w14:paraId="63301E0B" w14:textId="77777777" w:rsidTr="003E1ED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44" w:type="dxa"/>
          </w:tcPr>
          <w:p w14:paraId="749564EE" w14:textId="77777777" w:rsidR="006A296E" w:rsidRDefault="006A296E" w:rsidP="00BC5BE1">
            <w:pPr>
              <w:jc w:val="center"/>
              <w:rPr>
                <w:rFonts w:ascii="Arial" w:hAnsi="Arial" w:cs="Arial"/>
                <w:sz w:val="24"/>
                <w:szCs w:val="24"/>
                <w:lang w:val="es-ES"/>
              </w:rPr>
            </w:pPr>
            <w:r>
              <w:rPr>
                <w:rFonts w:ascii="Arial" w:hAnsi="Arial" w:cs="Arial"/>
                <w:sz w:val="24"/>
                <w:szCs w:val="24"/>
                <w:lang w:val="es-ES"/>
              </w:rPr>
              <w:lastRenderedPageBreak/>
              <w:t>País</w:t>
            </w:r>
          </w:p>
        </w:tc>
        <w:tc>
          <w:tcPr>
            <w:tcW w:w="1417" w:type="dxa"/>
          </w:tcPr>
          <w:p w14:paraId="224E020A" w14:textId="77777777" w:rsidR="006A296E" w:rsidRDefault="006A296E" w:rsidP="00BC5BE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Traslación</w:t>
            </w:r>
          </w:p>
        </w:tc>
        <w:tc>
          <w:tcPr>
            <w:tcW w:w="2670" w:type="dxa"/>
          </w:tcPr>
          <w:p w14:paraId="25B0EB9D" w14:textId="38FB1FF1" w:rsidR="006A296E" w:rsidRDefault="006A296E" w:rsidP="00BC5BE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Plazo para su cómputo</w:t>
            </w:r>
          </w:p>
        </w:tc>
        <w:tc>
          <w:tcPr>
            <w:tcW w:w="2969" w:type="dxa"/>
          </w:tcPr>
          <w:p w14:paraId="0F4B9F6F" w14:textId="15053D64" w:rsidR="006A296E" w:rsidRDefault="006A296E" w:rsidP="00BC5BE1">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Monto computable</w:t>
            </w:r>
          </w:p>
        </w:tc>
      </w:tr>
      <w:tr w:rsidR="006A296E" w14:paraId="2BAFAEF8" w14:textId="77777777" w:rsidTr="003E1ED3">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444" w:type="dxa"/>
          </w:tcPr>
          <w:p w14:paraId="0896B393" w14:textId="1D549DDC" w:rsidR="006A296E" w:rsidRDefault="003871FB" w:rsidP="009E6E65">
            <w:pPr>
              <w:rPr>
                <w:rFonts w:ascii="Arial" w:hAnsi="Arial" w:cs="Arial"/>
                <w:sz w:val="24"/>
                <w:szCs w:val="24"/>
                <w:lang w:val="es-ES"/>
              </w:rPr>
            </w:pPr>
            <w:r>
              <w:rPr>
                <w:rFonts w:ascii="Arial" w:hAnsi="Arial" w:cs="Arial"/>
                <w:sz w:val="24"/>
                <w:szCs w:val="24"/>
                <w:lang w:val="es-ES"/>
              </w:rPr>
              <w:t>España</w:t>
            </w:r>
          </w:p>
        </w:tc>
        <w:tc>
          <w:tcPr>
            <w:tcW w:w="1417" w:type="dxa"/>
          </w:tcPr>
          <w:p w14:paraId="1873B0DF" w14:textId="577D09A0" w:rsidR="006A296E" w:rsidRDefault="003871FB" w:rsidP="009E6E6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70" w:type="dxa"/>
          </w:tcPr>
          <w:p w14:paraId="295523C5" w14:textId="1B9D62C3" w:rsidR="006A296E" w:rsidRDefault="003871FB" w:rsidP="009E6E6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6A61A0">
              <w:rPr>
                <w:rFonts w:ascii="Arial" w:hAnsi="Arial" w:cs="Arial"/>
                <w:sz w:val="24"/>
                <w:szCs w:val="24"/>
                <w:lang w:val="es-ES"/>
              </w:rPr>
              <w:t>límite</w:t>
            </w:r>
            <w:r w:rsidR="009E6E65">
              <w:rPr>
                <w:rFonts w:ascii="Arial" w:hAnsi="Arial" w:cs="Arial"/>
                <w:sz w:val="24"/>
                <w:szCs w:val="24"/>
                <w:lang w:val="es-ES"/>
              </w:rPr>
              <w:t xml:space="preserve"> de plazo</w:t>
            </w:r>
          </w:p>
        </w:tc>
        <w:tc>
          <w:tcPr>
            <w:tcW w:w="2969" w:type="dxa"/>
          </w:tcPr>
          <w:p w14:paraId="4249FE5B" w14:textId="08759D21" w:rsidR="006A296E" w:rsidRDefault="003871FB" w:rsidP="009E6E6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70% de la renta fiscal. La limitación aplica a pérdidas superiores a un millón de euros.</w:t>
            </w:r>
            <w:r w:rsidR="009E6E65">
              <w:rPr>
                <w:rFonts w:ascii="Arial" w:hAnsi="Arial" w:cs="Arial"/>
                <w:sz w:val="24"/>
                <w:szCs w:val="24"/>
                <w:lang w:val="es-ES"/>
              </w:rPr>
              <w:t xml:space="preserve"> Los porcentajes de afectación pueden reducirse según el tamaño de la empresa.</w:t>
            </w:r>
          </w:p>
        </w:tc>
      </w:tr>
      <w:tr w:rsidR="003871FB" w:rsidRPr="00F650AF" w14:paraId="4A37F2E5" w14:textId="77777777" w:rsidTr="003E1ED3">
        <w:trPr>
          <w:trHeight w:val="600"/>
        </w:trPr>
        <w:tc>
          <w:tcPr>
            <w:cnfStyle w:val="001000000000" w:firstRow="0" w:lastRow="0" w:firstColumn="1" w:lastColumn="0" w:oddVBand="0" w:evenVBand="0" w:oddHBand="0" w:evenHBand="0" w:firstRowFirstColumn="0" w:firstRowLastColumn="0" w:lastRowFirstColumn="0" w:lastRowLastColumn="0"/>
            <w:tcW w:w="1444" w:type="dxa"/>
            <w:vMerge w:val="restart"/>
          </w:tcPr>
          <w:p w14:paraId="491606E8" w14:textId="643EBCF3" w:rsidR="003871FB" w:rsidRDefault="003871FB" w:rsidP="009E6E65">
            <w:pPr>
              <w:rPr>
                <w:rFonts w:ascii="Arial" w:hAnsi="Arial" w:cs="Arial"/>
                <w:sz w:val="24"/>
                <w:szCs w:val="24"/>
                <w:lang w:val="es-ES"/>
              </w:rPr>
            </w:pPr>
            <w:r>
              <w:rPr>
                <w:rFonts w:ascii="Arial" w:hAnsi="Arial" w:cs="Arial"/>
                <w:sz w:val="24"/>
                <w:szCs w:val="24"/>
                <w:lang w:val="es-ES"/>
              </w:rPr>
              <w:t>Francia</w:t>
            </w:r>
          </w:p>
        </w:tc>
        <w:tc>
          <w:tcPr>
            <w:tcW w:w="1417" w:type="dxa"/>
          </w:tcPr>
          <w:p w14:paraId="0BF33B06" w14:textId="77777777" w:rsidR="003871FB" w:rsidRDefault="003871FB" w:rsidP="009E6E6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p w14:paraId="6D13C73F" w14:textId="2DDC2A8B" w:rsidR="003871FB" w:rsidRDefault="003871FB" w:rsidP="009E6E6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Hacia </w:t>
            </w:r>
          </w:p>
        </w:tc>
        <w:tc>
          <w:tcPr>
            <w:tcW w:w="2670" w:type="dxa"/>
          </w:tcPr>
          <w:p w14:paraId="2ACFBB57" w14:textId="3CC1B397" w:rsidR="003871FB" w:rsidRDefault="0003710B" w:rsidP="009E6E6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Sin límite</w:t>
            </w:r>
            <w:r w:rsidR="00485D81">
              <w:rPr>
                <w:rFonts w:ascii="Arial" w:hAnsi="Arial" w:cs="Arial"/>
                <w:sz w:val="24"/>
                <w:szCs w:val="24"/>
                <w:lang w:val="es-ES"/>
              </w:rPr>
              <w:t xml:space="preserve"> de plazo.</w:t>
            </w:r>
          </w:p>
        </w:tc>
        <w:tc>
          <w:tcPr>
            <w:tcW w:w="2969" w:type="dxa"/>
          </w:tcPr>
          <w:p w14:paraId="7E52D164" w14:textId="1586C9CB" w:rsidR="003871FB" w:rsidRPr="00F650AF" w:rsidRDefault="0003710B" w:rsidP="00F650AF">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lang w:val="es-ES"/>
              </w:rPr>
              <w:t>E</w:t>
            </w:r>
            <w:r w:rsidRPr="00F650AF">
              <w:rPr>
                <w:rFonts w:ascii="Arial" w:hAnsi="Arial" w:cs="Arial"/>
                <w:sz w:val="24"/>
                <w:szCs w:val="24"/>
                <w:lang w:val="es-ES"/>
              </w:rPr>
              <w:t xml:space="preserve">l importe de las pérdidas utilizadas en un ejercicio determinado no </w:t>
            </w:r>
            <w:r>
              <w:rPr>
                <w:rFonts w:ascii="Arial" w:hAnsi="Arial" w:cs="Arial"/>
                <w:sz w:val="24"/>
                <w:szCs w:val="24"/>
                <w:lang w:val="es-ES"/>
              </w:rPr>
              <w:t>puede</w:t>
            </w:r>
            <w:r w:rsidRPr="00F650AF">
              <w:rPr>
                <w:rFonts w:ascii="Arial" w:hAnsi="Arial" w:cs="Arial"/>
                <w:sz w:val="24"/>
                <w:szCs w:val="24"/>
                <w:lang w:val="es-ES"/>
              </w:rPr>
              <w:t xml:space="preserve"> exceder de 1 millón de euros más el 50 % de</w:t>
            </w:r>
            <w:r>
              <w:rPr>
                <w:rFonts w:ascii="Arial" w:hAnsi="Arial" w:cs="Arial"/>
                <w:sz w:val="24"/>
                <w:szCs w:val="24"/>
                <w:lang w:val="es-ES"/>
              </w:rPr>
              <w:t xml:space="preserve"> </w:t>
            </w:r>
            <w:r w:rsidRPr="00F650AF">
              <w:rPr>
                <w:rFonts w:ascii="Arial" w:hAnsi="Arial" w:cs="Arial"/>
                <w:sz w:val="24"/>
                <w:szCs w:val="24"/>
                <w:lang w:val="es-ES"/>
              </w:rPr>
              <w:t>l</w:t>
            </w:r>
            <w:r>
              <w:rPr>
                <w:rFonts w:ascii="Arial" w:hAnsi="Arial" w:cs="Arial"/>
                <w:sz w:val="24"/>
                <w:szCs w:val="24"/>
                <w:lang w:val="es-ES"/>
              </w:rPr>
              <w:t>a</w:t>
            </w:r>
            <w:r w:rsidRPr="00F650AF">
              <w:rPr>
                <w:rFonts w:ascii="Arial" w:hAnsi="Arial" w:cs="Arial"/>
                <w:sz w:val="24"/>
                <w:szCs w:val="24"/>
                <w:lang w:val="es-ES"/>
              </w:rPr>
              <w:t xml:space="preserve"> </w:t>
            </w:r>
            <w:r>
              <w:rPr>
                <w:rFonts w:ascii="Arial" w:hAnsi="Arial" w:cs="Arial"/>
                <w:sz w:val="24"/>
                <w:szCs w:val="24"/>
                <w:lang w:val="es-ES"/>
              </w:rPr>
              <w:t xml:space="preserve">ganancia </w:t>
            </w:r>
            <w:r w:rsidRPr="00F650AF">
              <w:rPr>
                <w:rFonts w:ascii="Arial" w:hAnsi="Arial" w:cs="Arial"/>
                <w:sz w:val="24"/>
                <w:szCs w:val="24"/>
                <w:lang w:val="es-ES"/>
              </w:rPr>
              <w:t xml:space="preserve">imponible </w:t>
            </w:r>
            <w:r>
              <w:rPr>
                <w:rFonts w:ascii="Arial" w:hAnsi="Arial" w:cs="Arial"/>
                <w:sz w:val="24"/>
                <w:szCs w:val="24"/>
                <w:lang w:val="es-ES"/>
              </w:rPr>
              <w:t>en exceso</w:t>
            </w:r>
            <w:r w:rsidRPr="00F650AF">
              <w:rPr>
                <w:rFonts w:ascii="Arial" w:hAnsi="Arial" w:cs="Arial"/>
                <w:sz w:val="24"/>
                <w:szCs w:val="24"/>
                <w:lang w:val="es-ES"/>
              </w:rPr>
              <w:t xml:space="preserve"> a dicho importe para dicho ejercicio.</w:t>
            </w:r>
          </w:p>
        </w:tc>
      </w:tr>
      <w:tr w:rsidR="003871FB" w14:paraId="59D303E4" w14:textId="77777777" w:rsidTr="003E1ED3">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444" w:type="dxa"/>
            <w:vMerge/>
          </w:tcPr>
          <w:p w14:paraId="410CF96F" w14:textId="77777777" w:rsidR="003871FB" w:rsidRPr="00F650AF" w:rsidRDefault="003871FB" w:rsidP="009E6E65">
            <w:pPr>
              <w:rPr>
                <w:rFonts w:ascii="Arial" w:hAnsi="Arial" w:cs="Arial"/>
                <w:sz w:val="24"/>
                <w:szCs w:val="24"/>
              </w:rPr>
            </w:pPr>
          </w:p>
        </w:tc>
        <w:tc>
          <w:tcPr>
            <w:tcW w:w="1417" w:type="dxa"/>
          </w:tcPr>
          <w:p w14:paraId="29C9FDE7" w14:textId="09ACFDAB" w:rsidR="003871FB" w:rsidRDefault="0003710B" w:rsidP="009E6E6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atrás</w:t>
            </w:r>
          </w:p>
        </w:tc>
        <w:tc>
          <w:tcPr>
            <w:tcW w:w="2670" w:type="dxa"/>
          </w:tcPr>
          <w:p w14:paraId="451E53F2" w14:textId="1C7FA977" w:rsidR="003871FB" w:rsidRDefault="0003710B" w:rsidP="00BC5BE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Contra ganancias no distribuidas del ejercicio fiscal anterior. No pueden exceder un millón de euros Se otorga un bono.</w:t>
            </w:r>
          </w:p>
        </w:tc>
        <w:tc>
          <w:tcPr>
            <w:tcW w:w="2969" w:type="dxa"/>
          </w:tcPr>
          <w:p w14:paraId="37873A44" w14:textId="77777777" w:rsidR="003871FB" w:rsidRDefault="003871FB" w:rsidP="00BC5BE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p>
        </w:tc>
      </w:tr>
      <w:tr w:rsidR="003871FB" w14:paraId="4CD660DF" w14:textId="77777777" w:rsidTr="003E1ED3">
        <w:trPr>
          <w:trHeight w:val="131"/>
        </w:trPr>
        <w:tc>
          <w:tcPr>
            <w:cnfStyle w:val="001000000000" w:firstRow="0" w:lastRow="0" w:firstColumn="1" w:lastColumn="0" w:oddVBand="0" w:evenVBand="0" w:oddHBand="0" w:evenHBand="0" w:firstRowFirstColumn="0" w:firstRowLastColumn="0" w:lastRowFirstColumn="0" w:lastRowLastColumn="0"/>
            <w:tcW w:w="1444" w:type="dxa"/>
          </w:tcPr>
          <w:p w14:paraId="4E4E0175" w14:textId="4EC9C1BA" w:rsidR="003871FB" w:rsidRDefault="003871FB" w:rsidP="009E6E65">
            <w:pPr>
              <w:rPr>
                <w:rFonts w:ascii="Arial" w:hAnsi="Arial" w:cs="Arial"/>
                <w:sz w:val="24"/>
                <w:szCs w:val="24"/>
                <w:lang w:val="es-ES"/>
              </w:rPr>
            </w:pPr>
            <w:r>
              <w:rPr>
                <w:rFonts w:ascii="Arial" w:hAnsi="Arial" w:cs="Arial"/>
                <w:sz w:val="24"/>
                <w:szCs w:val="24"/>
                <w:lang w:val="es-ES"/>
              </w:rPr>
              <w:t>Italia</w:t>
            </w:r>
          </w:p>
        </w:tc>
        <w:tc>
          <w:tcPr>
            <w:tcW w:w="1417" w:type="dxa"/>
          </w:tcPr>
          <w:p w14:paraId="219ACE55" w14:textId="086E8E81" w:rsidR="003871FB" w:rsidRDefault="0003710B" w:rsidP="009E6E6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70" w:type="dxa"/>
          </w:tcPr>
          <w:p w14:paraId="4AEA4AC6" w14:textId="5C1D4495" w:rsidR="003871FB" w:rsidRDefault="0003710B" w:rsidP="00BC5BE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Sin límite</w:t>
            </w:r>
            <w:r w:rsidR="00485D81">
              <w:rPr>
                <w:rFonts w:ascii="Arial" w:hAnsi="Arial" w:cs="Arial"/>
                <w:sz w:val="24"/>
                <w:szCs w:val="24"/>
                <w:lang w:val="es-ES"/>
              </w:rPr>
              <w:t xml:space="preserve"> de plazo</w:t>
            </w:r>
          </w:p>
        </w:tc>
        <w:tc>
          <w:tcPr>
            <w:tcW w:w="2969" w:type="dxa"/>
          </w:tcPr>
          <w:p w14:paraId="19437B1A" w14:textId="31604F29" w:rsidR="003871FB" w:rsidRDefault="0003710B" w:rsidP="00BC5BE1">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80% de la ganancia imponible.</w:t>
            </w:r>
            <w:r w:rsidR="00A87CB6">
              <w:rPr>
                <w:rFonts w:ascii="Arial" w:hAnsi="Arial" w:cs="Arial"/>
                <w:sz w:val="24"/>
                <w:szCs w:val="24"/>
                <w:lang w:val="es-ES"/>
              </w:rPr>
              <w:t xml:space="preserve"> 100% en primeros tres años de nuevos emprendimientos.</w:t>
            </w:r>
          </w:p>
        </w:tc>
      </w:tr>
      <w:tr w:rsidR="0003710B" w:rsidRPr="00F650AF" w14:paraId="4D552E96" w14:textId="77777777" w:rsidTr="003E1E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44" w:type="dxa"/>
            <w:vMerge w:val="restart"/>
          </w:tcPr>
          <w:p w14:paraId="7399031C" w14:textId="1D934D36" w:rsidR="0003710B" w:rsidRDefault="0003710B" w:rsidP="009E6E65">
            <w:pPr>
              <w:rPr>
                <w:rFonts w:ascii="Arial" w:hAnsi="Arial" w:cs="Arial"/>
                <w:sz w:val="24"/>
                <w:szCs w:val="24"/>
                <w:lang w:val="es-ES"/>
              </w:rPr>
            </w:pPr>
            <w:r>
              <w:rPr>
                <w:rFonts w:ascii="Arial" w:hAnsi="Arial" w:cs="Arial"/>
                <w:sz w:val="24"/>
                <w:szCs w:val="24"/>
                <w:lang w:val="es-ES"/>
              </w:rPr>
              <w:t>Estados Unidos</w:t>
            </w:r>
          </w:p>
        </w:tc>
        <w:tc>
          <w:tcPr>
            <w:tcW w:w="1417" w:type="dxa"/>
          </w:tcPr>
          <w:p w14:paraId="50192D47" w14:textId="2D0F18BF" w:rsidR="0003710B" w:rsidRDefault="0003710B" w:rsidP="009E6E6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70" w:type="dxa"/>
          </w:tcPr>
          <w:p w14:paraId="70EACA0B" w14:textId="4C268EA7" w:rsidR="0003710B" w:rsidRPr="006A61A0" w:rsidRDefault="0003710B" w:rsidP="00BC5BE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sidRPr="006A61A0">
              <w:rPr>
                <w:rFonts w:ascii="Arial" w:hAnsi="Arial" w:cs="Arial"/>
                <w:sz w:val="24"/>
                <w:szCs w:val="24"/>
                <w:lang w:val="es-ES"/>
              </w:rPr>
              <w:t xml:space="preserve">Sin límite </w:t>
            </w:r>
            <w:r w:rsidR="00485D81" w:rsidRPr="006A61A0">
              <w:rPr>
                <w:rFonts w:ascii="Arial" w:hAnsi="Arial" w:cs="Arial"/>
                <w:sz w:val="24"/>
                <w:szCs w:val="24"/>
                <w:lang w:val="es-ES"/>
              </w:rPr>
              <w:t xml:space="preserve">de </w:t>
            </w:r>
            <w:r w:rsidR="009E6E65" w:rsidRPr="006A61A0">
              <w:rPr>
                <w:rFonts w:ascii="Arial" w:hAnsi="Arial" w:cs="Arial"/>
                <w:sz w:val="24"/>
                <w:szCs w:val="24"/>
                <w:lang w:val="es-ES"/>
              </w:rPr>
              <w:t>plazo</w:t>
            </w:r>
          </w:p>
        </w:tc>
        <w:tc>
          <w:tcPr>
            <w:tcW w:w="2969" w:type="dxa"/>
          </w:tcPr>
          <w:p w14:paraId="7A55EC3F" w14:textId="53D3F733" w:rsidR="0003710B" w:rsidRPr="006A61A0" w:rsidRDefault="0003710B" w:rsidP="00BC5BE1">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sidRPr="006A61A0">
              <w:rPr>
                <w:rFonts w:ascii="Arial" w:hAnsi="Arial" w:cs="Arial"/>
                <w:sz w:val="24"/>
                <w:szCs w:val="24"/>
                <w:lang w:val="es-ES"/>
              </w:rPr>
              <w:t xml:space="preserve">80% de la ganancias. </w:t>
            </w:r>
          </w:p>
        </w:tc>
      </w:tr>
      <w:tr w:rsidR="0003710B" w:rsidRPr="00F650AF" w14:paraId="379C380A" w14:textId="77777777" w:rsidTr="003E1ED3">
        <w:trPr>
          <w:trHeight w:val="237"/>
        </w:trPr>
        <w:tc>
          <w:tcPr>
            <w:cnfStyle w:val="001000000000" w:firstRow="0" w:lastRow="0" w:firstColumn="1" w:lastColumn="0" w:oddVBand="0" w:evenVBand="0" w:oddHBand="0" w:evenHBand="0" w:firstRowFirstColumn="0" w:firstRowLastColumn="0" w:lastRowFirstColumn="0" w:lastRowLastColumn="0"/>
            <w:tcW w:w="1444" w:type="dxa"/>
            <w:vMerge/>
          </w:tcPr>
          <w:p w14:paraId="2C600D08" w14:textId="77777777" w:rsidR="0003710B" w:rsidRDefault="0003710B" w:rsidP="0003710B">
            <w:pPr>
              <w:rPr>
                <w:rFonts w:ascii="Arial" w:hAnsi="Arial" w:cs="Arial"/>
                <w:sz w:val="24"/>
                <w:szCs w:val="24"/>
                <w:lang w:val="es-ES"/>
              </w:rPr>
            </w:pPr>
          </w:p>
        </w:tc>
        <w:tc>
          <w:tcPr>
            <w:tcW w:w="1417" w:type="dxa"/>
          </w:tcPr>
          <w:p w14:paraId="7BE0B0E9" w14:textId="6BE9C9F4" w:rsidR="0003710B" w:rsidRDefault="0003710B"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Hacia atrás </w:t>
            </w:r>
          </w:p>
        </w:tc>
        <w:tc>
          <w:tcPr>
            <w:tcW w:w="2670" w:type="dxa"/>
          </w:tcPr>
          <w:p w14:paraId="75EFE602" w14:textId="06124269" w:rsidR="0003710B" w:rsidRPr="006A61A0" w:rsidRDefault="0003710B"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sidRPr="006A61A0">
              <w:rPr>
                <w:rFonts w:ascii="Arial" w:hAnsi="Arial" w:cs="Arial"/>
                <w:sz w:val="24"/>
                <w:szCs w:val="24"/>
                <w:lang w:val="es-ES"/>
              </w:rPr>
              <w:t xml:space="preserve">Dos años en ciertos casos </w:t>
            </w:r>
          </w:p>
        </w:tc>
        <w:tc>
          <w:tcPr>
            <w:tcW w:w="2969" w:type="dxa"/>
          </w:tcPr>
          <w:p w14:paraId="0F57D53D" w14:textId="5215C7A6" w:rsidR="0003710B" w:rsidRPr="006A61A0" w:rsidRDefault="0003710B"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sidRPr="006A61A0">
              <w:rPr>
                <w:rFonts w:ascii="Arial" w:hAnsi="Arial" w:cs="Arial"/>
                <w:sz w:val="24"/>
                <w:szCs w:val="24"/>
                <w:lang w:val="es-ES"/>
              </w:rPr>
              <w:t xml:space="preserve">. </w:t>
            </w:r>
          </w:p>
        </w:tc>
      </w:tr>
      <w:tr w:rsidR="0003710B" w14:paraId="11516295" w14:textId="77777777" w:rsidTr="003E1ED3">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444" w:type="dxa"/>
          </w:tcPr>
          <w:p w14:paraId="2EB51BC6" w14:textId="51DF68ED" w:rsidR="0003710B" w:rsidRDefault="006A61A0" w:rsidP="0003710B">
            <w:pPr>
              <w:rPr>
                <w:rFonts w:ascii="Arial" w:hAnsi="Arial" w:cs="Arial"/>
                <w:sz w:val="24"/>
                <w:szCs w:val="24"/>
                <w:lang w:val="es-ES"/>
              </w:rPr>
            </w:pPr>
            <w:r>
              <w:rPr>
                <w:rFonts w:ascii="Arial" w:hAnsi="Arial" w:cs="Arial"/>
                <w:sz w:val="24"/>
                <w:szCs w:val="24"/>
                <w:lang w:val="es-ES"/>
              </w:rPr>
              <w:t>Sudáfrica</w:t>
            </w:r>
          </w:p>
        </w:tc>
        <w:tc>
          <w:tcPr>
            <w:tcW w:w="1417" w:type="dxa"/>
          </w:tcPr>
          <w:p w14:paraId="74F736E8" w14:textId="442FC660" w:rsidR="0003710B" w:rsidRDefault="009E6E65"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70" w:type="dxa"/>
          </w:tcPr>
          <w:p w14:paraId="4B025EC6" w14:textId="02C92F75" w:rsidR="0003710B" w:rsidRDefault="009E6E65"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6A61A0">
              <w:rPr>
                <w:rFonts w:ascii="Arial" w:hAnsi="Arial" w:cs="Arial"/>
                <w:sz w:val="24"/>
                <w:szCs w:val="24"/>
                <w:lang w:val="es-ES"/>
              </w:rPr>
              <w:t>límite</w:t>
            </w:r>
            <w:r>
              <w:rPr>
                <w:rFonts w:ascii="Arial" w:hAnsi="Arial" w:cs="Arial"/>
                <w:sz w:val="24"/>
                <w:szCs w:val="24"/>
                <w:lang w:val="es-ES"/>
              </w:rPr>
              <w:t xml:space="preserve"> </w:t>
            </w:r>
            <w:r w:rsidR="006A61A0">
              <w:rPr>
                <w:rFonts w:ascii="Arial" w:hAnsi="Arial" w:cs="Arial"/>
                <w:sz w:val="24"/>
                <w:szCs w:val="24"/>
                <w:lang w:val="es-ES"/>
              </w:rPr>
              <w:t xml:space="preserve">de </w:t>
            </w:r>
            <w:r>
              <w:rPr>
                <w:rFonts w:ascii="Arial" w:hAnsi="Arial" w:cs="Arial"/>
                <w:sz w:val="24"/>
                <w:szCs w:val="24"/>
                <w:lang w:val="es-ES"/>
              </w:rPr>
              <w:t>plazo.</w:t>
            </w:r>
          </w:p>
        </w:tc>
        <w:tc>
          <w:tcPr>
            <w:tcW w:w="2969" w:type="dxa"/>
          </w:tcPr>
          <w:p w14:paraId="34FAB729" w14:textId="77777777" w:rsidR="0003710B" w:rsidRDefault="0003710B"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p>
        </w:tc>
      </w:tr>
      <w:tr w:rsidR="006A61A0" w14:paraId="754527B8" w14:textId="77777777" w:rsidTr="003E1ED3">
        <w:trPr>
          <w:trHeight w:val="131"/>
        </w:trPr>
        <w:tc>
          <w:tcPr>
            <w:cnfStyle w:val="001000000000" w:firstRow="0" w:lastRow="0" w:firstColumn="1" w:lastColumn="0" w:oddVBand="0" w:evenVBand="0" w:oddHBand="0" w:evenHBand="0" w:firstRowFirstColumn="0" w:firstRowLastColumn="0" w:lastRowFirstColumn="0" w:lastRowLastColumn="0"/>
            <w:tcW w:w="1444" w:type="dxa"/>
          </w:tcPr>
          <w:p w14:paraId="6C2459C8" w14:textId="53A96495" w:rsidR="006A61A0" w:rsidRDefault="00E35788" w:rsidP="0003710B">
            <w:pPr>
              <w:rPr>
                <w:rFonts w:ascii="Arial" w:hAnsi="Arial" w:cs="Arial"/>
                <w:sz w:val="24"/>
                <w:szCs w:val="24"/>
                <w:lang w:val="es-ES"/>
              </w:rPr>
            </w:pPr>
            <w:r>
              <w:rPr>
                <w:rFonts w:ascii="Arial" w:hAnsi="Arial" w:cs="Arial"/>
                <w:sz w:val="24"/>
                <w:szCs w:val="24"/>
                <w:lang w:val="es-ES"/>
              </w:rPr>
              <w:t>Alemania</w:t>
            </w:r>
          </w:p>
        </w:tc>
        <w:tc>
          <w:tcPr>
            <w:tcW w:w="1417" w:type="dxa"/>
          </w:tcPr>
          <w:p w14:paraId="412EE5AA" w14:textId="1DAA1EA2" w:rsidR="006A61A0"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Hacia </w:t>
            </w:r>
          </w:p>
          <w:p w14:paraId="0300CDA9" w14:textId="022A27B5"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Adelante</w:t>
            </w:r>
          </w:p>
          <w:p w14:paraId="7AB742C1" w14:textId="77777777"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Hacia </w:t>
            </w:r>
          </w:p>
          <w:p w14:paraId="49954EFB" w14:textId="7AE61F23" w:rsidR="00E35788" w:rsidRDefault="00C60CDA"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atrás</w:t>
            </w:r>
          </w:p>
        </w:tc>
        <w:tc>
          <w:tcPr>
            <w:tcW w:w="2670" w:type="dxa"/>
          </w:tcPr>
          <w:p w14:paraId="286593AC" w14:textId="6945824A" w:rsidR="006A61A0"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C60CDA">
              <w:rPr>
                <w:rFonts w:ascii="Arial" w:hAnsi="Arial" w:cs="Arial"/>
                <w:sz w:val="24"/>
                <w:szCs w:val="24"/>
                <w:lang w:val="es-ES"/>
              </w:rPr>
              <w:t>límite</w:t>
            </w:r>
            <w:r>
              <w:rPr>
                <w:rFonts w:ascii="Arial" w:hAnsi="Arial" w:cs="Arial"/>
                <w:sz w:val="24"/>
                <w:szCs w:val="24"/>
                <w:lang w:val="es-ES"/>
              </w:rPr>
              <w:t xml:space="preserve"> de plazo.</w:t>
            </w:r>
          </w:p>
          <w:p w14:paraId="145CE185" w14:textId="77777777"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p w14:paraId="3CF817C7" w14:textId="77777777"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p w14:paraId="0003E0CF" w14:textId="6C7F3B68"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Un año, hasta un tope de un millón de euros</w:t>
            </w:r>
          </w:p>
        </w:tc>
        <w:tc>
          <w:tcPr>
            <w:tcW w:w="2969" w:type="dxa"/>
          </w:tcPr>
          <w:p w14:paraId="2FD40EB6" w14:textId="77777777" w:rsidR="006A61A0" w:rsidRDefault="006A61A0"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tc>
      </w:tr>
      <w:tr w:rsidR="006A61A0" w14:paraId="3D070945" w14:textId="77777777" w:rsidTr="003E1ED3">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444" w:type="dxa"/>
          </w:tcPr>
          <w:p w14:paraId="0943CA62" w14:textId="76BB4AF0" w:rsidR="006A61A0" w:rsidRDefault="00E35788" w:rsidP="0003710B">
            <w:pPr>
              <w:rPr>
                <w:rFonts w:ascii="Arial" w:hAnsi="Arial" w:cs="Arial"/>
                <w:sz w:val="24"/>
                <w:szCs w:val="24"/>
                <w:lang w:val="es-ES"/>
              </w:rPr>
            </w:pPr>
            <w:r>
              <w:rPr>
                <w:rFonts w:ascii="Arial" w:hAnsi="Arial" w:cs="Arial"/>
                <w:sz w:val="24"/>
                <w:szCs w:val="24"/>
                <w:lang w:val="es-ES"/>
              </w:rPr>
              <w:t>Holanda</w:t>
            </w:r>
          </w:p>
        </w:tc>
        <w:tc>
          <w:tcPr>
            <w:tcW w:w="1417" w:type="dxa"/>
          </w:tcPr>
          <w:p w14:paraId="66B23133" w14:textId="77777777" w:rsidR="006A61A0"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Hacia </w:t>
            </w:r>
          </w:p>
          <w:p w14:paraId="216FAE81" w14:textId="3D48FED2" w:rsidR="00E35788"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Adelante</w:t>
            </w:r>
          </w:p>
          <w:p w14:paraId="5F356F4C" w14:textId="77777777" w:rsidR="00E35788"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w:t>
            </w:r>
          </w:p>
          <w:p w14:paraId="08B7CC93" w14:textId="2F0522F7" w:rsidR="00E35788" w:rsidRDefault="009432D9"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A</w:t>
            </w:r>
            <w:r w:rsidR="00C60CDA">
              <w:rPr>
                <w:rFonts w:ascii="Arial" w:hAnsi="Arial" w:cs="Arial"/>
                <w:sz w:val="24"/>
                <w:szCs w:val="24"/>
                <w:lang w:val="es-ES"/>
              </w:rPr>
              <w:t>trás</w:t>
            </w:r>
          </w:p>
        </w:tc>
        <w:tc>
          <w:tcPr>
            <w:tcW w:w="2670" w:type="dxa"/>
          </w:tcPr>
          <w:p w14:paraId="610A278E" w14:textId="77777777" w:rsidR="006A61A0"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Seis años</w:t>
            </w:r>
          </w:p>
          <w:p w14:paraId="0E2FD502" w14:textId="180A2CE3" w:rsidR="00E35788"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Un año</w:t>
            </w:r>
          </w:p>
        </w:tc>
        <w:tc>
          <w:tcPr>
            <w:tcW w:w="2969" w:type="dxa"/>
          </w:tcPr>
          <w:p w14:paraId="5C0B6AA4" w14:textId="77777777" w:rsidR="006A61A0" w:rsidRDefault="006A61A0"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p>
        </w:tc>
      </w:tr>
      <w:tr w:rsidR="006A61A0" w14:paraId="3490BD00" w14:textId="77777777" w:rsidTr="003E1ED3">
        <w:trPr>
          <w:trHeight w:val="131"/>
        </w:trPr>
        <w:tc>
          <w:tcPr>
            <w:cnfStyle w:val="001000000000" w:firstRow="0" w:lastRow="0" w:firstColumn="1" w:lastColumn="0" w:oddVBand="0" w:evenVBand="0" w:oddHBand="0" w:evenHBand="0" w:firstRowFirstColumn="0" w:firstRowLastColumn="0" w:lastRowFirstColumn="0" w:lastRowLastColumn="0"/>
            <w:tcW w:w="1444" w:type="dxa"/>
          </w:tcPr>
          <w:p w14:paraId="56DFC5BD" w14:textId="2F34013E" w:rsidR="006A61A0" w:rsidRDefault="006245A8" w:rsidP="0003710B">
            <w:pPr>
              <w:rPr>
                <w:rFonts w:ascii="Arial" w:hAnsi="Arial" w:cs="Arial"/>
                <w:sz w:val="24"/>
                <w:szCs w:val="24"/>
                <w:lang w:val="es-ES"/>
              </w:rPr>
            </w:pPr>
            <w:r>
              <w:rPr>
                <w:rFonts w:ascii="Arial" w:hAnsi="Arial" w:cs="Arial"/>
                <w:sz w:val="24"/>
                <w:szCs w:val="24"/>
                <w:lang w:val="es-ES"/>
              </w:rPr>
              <w:t>Canadá</w:t>
            </w:r>
          </w:p>
        </w:tc>
        <w:tc>
          <w:tcPr>
            <w:tcW w:w="1417" w:type="dxa"/>
          </w:tcPr>
          <w:p w14:paraId="3A198426" w14:textId="77777777" w:rsidR="006A61A0"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w:t>
            </w:r>
          </w:p>
          <w:p w14:paraId="11B0D4CF" w14:textId="14DDFD13"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Adelante</w:t>
            </w:r>
          </w:p>
          <w:p w14:paraId="70B882BF" w14:textId="77777777"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w:t>
            </w:r>
          </w:p>
          <w:p w14:paraId="61B1CE6E" w14:textId="2AA44566" w:rsidR="00E35788" w:rsidRDefault="00C60CDA"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atrás</w:t>
            </w:r>
          </w:p>
        </w:tc>
        <w:tc>
          <w:tcPr>
            <w:tcW w:w="2670" w:type="dxa"/>
          </w:tcPr>
          <w:p w14:paraId="2F155A62" w14:textId="77777777" w:rsidR="006A61A0"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Veinte (20) años</w:t>
            </w:r>
          </w:p>
          <w:p w14:paraId="6A42DFE3" w14:textId="77777777"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p w14:paraId="209B8377" w14:textId="77777777"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p w14:paraId="7D494BF1" w14:textId="43E40488"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Tres (3) años</w:t>
            </w:r>
          </w:p>
        </w:tc>
        <w:tc>
          <w:tcPr>
            <w:tcW w:w="2969" w:type="dxa"/>
          </w:tcPr>
          <w:p w14:paraId="7FF351A9" w14:textId="77777777" w:rsidR="006A61A0" w:rsidRDefault="006A61A0"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tc>
      </w:tr>
      <w:tr w:rsidR="006A61A0" w14:paraId="5AA58184" w14:textId="77777777" w:rsidTr="003E1ED3">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444" w:type="dxa"/>
          </w:tcPr>
          <w:p w14:paraId="125DF76A" w14:textId="42AB0667" w:rsidR="006A61A0" w:rsidRDefault="00E35788" w:rsidP="0003710B">
            <w:pPr>
              <w:rPr>
                <w:rFonts w:ascii="Arial" w:hAnsi="Arial" w:cs="Arial"/>
                <w:sz w:val="24"/>
                <w:szCs w:val="24"/>
                <w:lang w:val="es-ES"/>
              </w:rPr>
            </w:pPr>
            <w:r>
              <w:rPr>
                <w:rFonts w:ascii="Arial" w:hAnsi="Arial" w:cs="Arial"/>
                <w:sz w:val="24"/>
                <w:szCs w:val="24"/>
                <w:lang w:val="es-ES"/>
              </w:rPr>
              <w:t>Australia</w:t>
            </w:r>
          </w:p>
        </w:tc>
        <w:tc>
          <w:tcPr>
            <w:tcW w:w="1417" w:type="dxa"/>
          </w:tcPr>
          <w:p w14:paraId="29E528D3" w14:textId="77777777" w:rsidR="006A61A0"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Hacia </w:t>
            </w:r>
          </w:p>
          <w:p w14:paraId="39E94B71" w14:textId="7D91D390" w:rsidR="00E35788"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adelante</w:t>
            </w:r>
          </w:p>
        </w:tc>
        <w:tc>
          <w:tcPr>
            <w:tcW w:w="2670" w:type="dxa"/>
          </w:tcPr>
          <w:p w14:paraId="45FFEECA" w14:textId="79206EA1" w:rsidR="006A61A0"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6245A8">
              <w:rPr>
                <w:rFonts w:ascii="Arial" w:hAnsi="Arial" w:cs="Arial"/>
                <w:sz w:val="24"/>
                <w:szCs w:val="24"/>
                <w:lang w:val="es-ES"/>
              </w:rPr>
              <w:t>límite</w:t>
            </w:r>
            <w:r>
              <w:rPr>
                <w:rFonts w:ascii="Arial" w:hAnsi="Arial" w:cs="Arial"/>
                <w:sz w:val="24"/>
                <w:szCs w:val="24"/>
                <w:lang w:val="es-ES"/>
              </w:rPr>
              <w:t xml:space="preserve"> de plazo</w:t>
            </w:r>
          </w:p>
        </w:tc>
        <w:tc>
          <w:tcPr>
            <w:tcW w:w="2969" w:type="dxa"/>
          </w:tcPr>
          <w:p w14:paraId="067892D4" w14:textId="406F91AA" w:rsidR="006A61A0"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Sujeto a ciertas reglas.</w:t>
            </w:r>
          </w:p>
        </w:tc>
      </w:tr>
      <w:tr w:rsidR="006A61A0" w14:paraId="3CA842BD" w14:textId="77777777" w:rsidTr="003E1ED3">
        <w:trPr>
          <w:trHeight w:val="131"/>
        </w:trPr>
        <w:tc>
          <w:tcPr>
            <w:cnfStyle w:val="001000000000" w:firstRow="0" w:lastRow="0" w:firstColumn="1" w:lastColumn="0" w:oddVBand="0" w:evenVBand="0" w:oddHBand="0" w:evenHBand="0" w:firstRowFirstColumn="0" w:firstRowLastColumn="0" w:lastRowFirstColumn="0" w:lastRowLastColumn="0"/>
            <w:tcW w:w="1444" w:type="dxa"/>
          </w:tcPr>
          <w:p w14:paraId="713EF59D" w14:textId="423DF82F" w:rsidR="006A61A0" w:rsidRDefault="00E35788" w:rsidP="0003710B">
            <w:pPr>
              <w:rPr>
                <w:rFonts w:ascii="Arial" w:hAnsi="Arial" w:cs="Arial"/>
                <w:sz w:val="24"/>
                <w:szCs w:val="24"/>
                <w:lang w:val="es-ES"/>
              </w:rPr>
            </w:pPr>
            <w:r>
              <w:rPr>
                <w:rFonts w:ascii="Arial" w:hAnsi="Arial" w:cs="Arial"/>
                <w:sz w:val="24"/>
                <w:szCs w:val="24"/>
                <w:lang w:val="es-ES"/>
              </w:rPr>
              <w:lastRenderedPageBreak/>
              <w:t>Reino Unido</w:t>
            </w:r>
          </w:p>
        </w:tc>
        <w:tc>
          <w:tcPr>
            <w:tcW w:w="1417" w:type="dxa"/>
          </w:tcPr>
          <w:p w14:paraId="1D8B699E" w14:textId="77777777" w:rsidR="006A61A0"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Hacia </w:t>
            </w:r>
          </w:p>
          <w:p w14:paraId="17616938" w14:textId="224050C9" w:rsidR="00E35788"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adelante</w:t>
            </w:r>
          </w:p>
        </w:tc>
        <w:tc>
          <w:tcPr>
            <w:tcW w:w="2670" w:type="dxa"/>
          </w:tcPr>
          <w:p w14:paraId="0F0E5373" w14:textId="6C40FEC9" w:rsidR="006A61A0"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6245A8">
              <w:rPr>
                <w:rFonts w:ascii="Arial" w:hAnsi="Arial" w:cs="Arial"/>
                <w:sz w:val="24"/>
                <w:szCs w:val="24"/>
                <w:lang w:val="es-ES"/>
              </w:rPr>
              <w:t>límite</w:t>
            </w:r>
            <w:r>
              <w:rPr>
                <w:rFonts w:ascii="Arial" w:hAnsi="Arial" w:cs="Arial"/>
                <w:sz w:val="24"/>
                <w:szCs w:val="24"/>
                <w:lang w:val="es-ES"/>
              </w:rPr>
              <w:t xml:space="preserve"> de plazo.</w:t>
            </w:r>
          </w:p>
        </w:tc>
        <w:tc>
          <w:tcPr>
            <w:tcW w:w="2969" w:type="dxa"/>
          </w:tcPr>
          <w:p w14:paraId="33A42EE8" w14:textId="56F08164" w:rsidR="006A61A0" w:rsidRDefault="00E35788"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Hasta 5MM libras, exceso el 50% de la ganancia.</w:t>
            </w:r>
          </w:p>
        </w:tc>
      </w:tr>
      <w:tr w:rsidR="006A61A0" w14:paraId="2D83409C" w14:textId="77777777" w:rsidTr="003E1ED3">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444" w:type="dxa"/>
          </w:tcPr>
          <w:p w14:paraId="66C87889" w14:textId="64C66DC5" w:rsidR="006A61A0" w:rsidRDefault="00E35788" w:rsidP="0003710B">
            <w:pPr>
              <w:rPr>
                <w:rFonts w:ascii="Arial" w:hAnsi="Arial" w:cs="Arial"/>
                <w:sz w:val="24"/>
                <w:szCs w:val="24"/>
                <w:lang w:val="es-ES"/>
              </w:rPr>
            </w:pPr>
            <w:r>
              <w:rPr>
                <w:rFonts w:ascii="Arial" w:hAnsi="Arial" w:cs="Arial"/>
                <w:sz w:val="24"/>
                <w:szCs w:val="24"/>
                <w:lang w:val="es-ES"/>
              </w:rPr>
              <w:t>Noruega</w:t>
            </w:r>
          </w:p>
        </w:tc>
        <w:tc>
          <w:tcPr>
            <w:tcW w:w="1417" w:type="dxa"/>
          </w:tcPr>
          <w:p w14:paraId="72E58A74" w14:textId="77777777" w:rsidR="006A61A0"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Hacia </w:t>
            </w:r>
          </w:p>
          <w:p w14:paraId="33C51901" w14:textId="71A2CFDE" w:rsidR="00E35788"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adelante </w:t>
            </w:r>
          </w:p>
        </w:tc>
        <w:tc>
          <w:tcPr>
            <w:tcW w:w="2670" w:type="dxa"/>
          </w:tcPr>
          <w:p w14:paraId="2B5D1128" w14:textId="147B5F3B" w:rsidR="006A61A0" w:rsidRDefault="00E35788"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6245A8">
              <w:rPr>
                <w:rFonts w:ascii="Arial" w:hAnsi="Arial" w:cs="Arial"/>
                <w:sz w:val="24"/>
                <w:szCs w:val="24"/>
                <w:lang w:val="es-ES"/>
              </w:rPr>
              <w:t>límite</w:t>
            </w:r>
            <w:r>
              <w:rPr>
                <w:rFonts w:ascii="Arial" w:hAnsi="Arial" w:cs="Arial"/>
                <w:sz w:val="24"/>
                <w:szCs w:val="24"/>
                <w:lang w:val="es-ES"/>
              </w:rPr>
              <w:t xml:space="preserve"> de plazo</w:t>
            </w:r>
          </w:p>
        </w:tc>
        <w:tc>
          <w:tcPr>
            <w:tcW w:w="2969" w:type="dxa"/>
          </w:tcPr>
          <w:p w14:paraId="2C68048C" w14:textId="77777777" w:rsidR="006A61A0" w:rsidRDefault="006A61A0"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p>
        </w:tc>
      </w:tr>
      <w:tr w:rsidR="006A61A0" w14:paraId="70FE02D9" w14:textId="77777777" w:rsidTr="003E1ED3">
        <w:trPr>
          <w:trHeight w:val="131"/>
        </w:trPr>
        <w:tc>
          <w:tcPr>
            <w:cnfStyle w:val="001000000000" w:firstRow="0" w:lastRow="0" w:firstColumn="1" w:lastColumn="0" w:oddVBand="0" w:evenVBand="0" w:oddHBand="0" w:evenHBand="0" w:firstRowFirstColumn="0" w:firstRowLastColumn="0" w:lastRowFirstColumn="0" w:lastRowLastColumn="0"/>
            <w:tcW w:w="1444" w:type="dxa"/>
          </w:tcPr>
          <w:p w14:paraId="0AD56C55" w14:textId="3D001C98" w:rsidR="006A61A0" w:rsidRDefault="000D6600" w:rsidP="0003710B">
            <w:pPr>
              <w:rPr>
                <w:rFonts w:ascii="Arial" w:hAnsi="Arial" w:cs="Arial"/>
                <w:sz w:val="24"/>
                <w:szCs w:val="24"/>
                <w:lang w:val="es-ES"/>
              </w:rPr>
            </w:pPr>
            <w:r>
              <w:rPr>
                <w:rFonts w:ascii="Arial" w:hAnsi="Arial" w:cs="Arial"/>
                <w:sz w:val="24"/>
                <w:szCs w:val="24"/>
                <w:lang w:val="es-ES"/>
              </w:rPr>
              <w:t>Suecia</w:t>
            </w:r>
          </w:p>
          <w:p w14:paraId="3A99D8CF" w14:textId="13F0756C" w:rsidR="00E35788" w:rsidRDefault="00E35788" w:rsidP="0003710B">
            <w:pPr>
              <w:rPr>
                <w:rFonts w:ascii="Arial" w:hAnsi="Arial" w:cs="Arial"/>
                <w:sz w:val="24"/>
                <w:szCs w:val="24"/>
                <w:lang w:val="es-ES"/>
              </w:rPr>
            </w:pPr>
          </w:p>
        </w:tc>
        <w:tc>
          <w:tcPr>
            <w:tcW w:w="1417" w:type="dxa"/>
          </w:tcPr>
          <w:p w14:paraId="0D7429B5" w14:textId="49A95481" w:rsidR="006A61A0" w:rsidRDefault="000D6600"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w:t>
            </w:r>
          </w:p>
          <w:p w14:paraId="3B1F588A" w14:textId="4E2C0905" w:rsidR="000D6600" w:rsidRDefault="000D6600"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adelante</w:t>
            </w:r>
          </w:p>
        </w:tc>
        <w:tc>
          <w:tcPr>
            <w:tcW w:w="2670" w:type="dxa"/>
          </w:tcPr>
          <w:p w14:paraId="3C9469B8" w14:textId="5C0117CC" w:rsidR="006A61A0" w:rsidRDefault="000D6600"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6245A8">
              <w:rPr>
                <w:rFonts w:ascii="Arial" w:hAnsi="Arial" w:cs="Arial"/>
                <w:sz w:val="24"/>
                <w:szCs w:val="24"/>
                <w:lang w:val="es-ES"/>
              </w:rPr>
              <w:t>límite</w:t>
            </w:r>
            <w:r>
              <w:rPr>
                <w:rFonts w:ascii="Arial" w:hAnsi="Arial" w:cs="Arial"/>
                <w:sz w:val="24"/>
                <w:szCs w:val="24"/>
                <w:lang w:val="es-ES"/>
              </w:rPr>
              <w:t xml:space="preserve"> de plazo</w:t>
            </w:r>
          </w:p>
        </w:tc>
        <w:tc>
          <w:tcPr>
            <w:tcW w:w="2969" w:type="dxa"/>
          </w:tcPr>
          <w:p w14:paraId="24A88B8A" w14:textId="64AA617D" w:rsidR="006A61A0" w:rsidRDefault="000D6600"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Sujeto a ciertas reglas.</w:t>
            </w:r>
          </w:p>
        </w:tc>
      </w:tr>
      <w:tr w:rsidR="00FE74B2" w14:paraId="20A48A71" w14:textId="77777777" w:rsidTr="003E1ED3">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444" w:type="dxa"/>
          </w:tcPr>
          <w:p w14:paraId="1E621381" w14:textId="01D3FD9A" w:rsidR="00FE74B2" w:rsidRDefault="00FE74B2" w:rsidP="0003710B">
            <w:pPr>
              <w:rPr>
                <w:rFonts w:ascii="Arial" w:hAnsi="Arial" w:cs="Arial"/>
                <w:sz w:val="24"/>
                <w:szCs w:val="24"/>
                <w:lang w:val="es-ES"/>
              </w:rPr>
            </w:pPr>
            <w:r>
              <w:rPr>
                <w:rFonts w:ascii="Arial" w:hAnsi="Arial" w:cs="Arial"/>
                <w:sz w:val="24"/>
                <w:szCs w:val="24"/>
                <w:lang w:val="es-ES"/>
              </w:rPr>
              <w:t>Nueva Zelandia</w:t>
            </w:r>
          </w:p>
        </w:tc>
        <w:tc>
          <w:tcPr>
            <w:tcW w:w="1417" w:type="dxa"/>
          </w:tcPr>
          <w:p w14:paraId="3392F316" w14:textId="35380BAB" w:rsidR="00FE74B2" w:rsidRDefault="00FE74B2"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70" w:type="dxa"/>
          </w:tcPr>
          <w:p w14:paraId="278467D0" w14:textId="6B4B97DD" w:rsidR="00FE74B2" w:rsidRDefault="00FE74B2"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3E1ED3">
              <w:rPr>
                <w:rFonts w:ascii="Arial" w:hAnsi="Arial" w:cs="Arial"/>
                <w:sz w:val="24"/>
                <w:szCs w:val="24"/>
                <w:lang w:val="es-ES"/>
              </w:rPr>
              <w:t>límite</w:t>
            </w:r>
            <w:r>
              <w:rPr>
                <w:rFonts w:ascii="Arial" w:hAnsi="Arial" w:cs="Arial"/>
                <w:sz w:val="24"/>
                <w:szCs w:val="24"/>
                <w:lang w:val="es-ES"/>
              </w:rPr>
              <w:t xml:space="preserve"> de plazo</w:t>
            </w:r>
          </w:p>
        </w:tc>
        <w:tc>
          <w:tcPr>
            <w:tcW w:w="2969" w:type="dxa"/>
          </w:tcPr>
          <w:p w14:paraId="6F8387D8" w14:textId="77777777" w:rsidR="00FE74B2" w:rsidRDefault="00FE74B2"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Sujeto a ciertas reglas.</w:t>
            </w:r>
          </w:p>
          <w:p w14:paraId="1D8F61B8" w14:textId="113732BC" w:rsidR="00FE74B2" w:rsidRDefault="00FE74B2"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Hay un carryback, de un año precedente por los años 2020 y 2021 como paliativo </w:t>
            </w:r>
            <w:r w:rsidR="00F61AB7">
              <w:rPr>
                <w:rFonts w:ascii="Arial" w:hAnsi="Arial" w:cs="Arial"/>
                <w:sz w:val="24"/>
                <w:szCs w:val="24"/>
                <w:lang w:val="es-ES"/>
              </w:rPr>
              <w:t xml:space="preserve">temporal </w:t>
            </w:r>
            <w:r>
              <w:rPr>
                <w:rFonts w:ascii="Arial" w:hAnsi="Arial" w:cs="Arial"/>
                <w:sz w:val="24"/>
                <w:szCs w:val="24"/>
                <w:lang w:val="es-ES"/>
              </w:rPr>
              <w:t>ante el Covid-19</w:t>
            </w:r>
          </w:p>
        </w:tc>
      </w:tr>
      <w:tr w:rsidR="00FE74B2" w14:paraId="57CB73E6" w14:textId="77777777" w:rsidTr="003E1ED3">
        <w:trPr>
          <w:trHeight w:val="131"/>
        </w:trPr>
        <w:tc>
          <w:tcPr>
            <w:cnfStyle w:val="001000000000" w:firstRow="0" w:lastRow="0" w:firstColumn="1" w:lastColumn="0" w:oddVBand="0" w:evenVBand="0" w:oddHBand="0" w:evenHBand="0" w:firstRowFirstColumn="0" w:firstRowLastColumn="0" w:lastRowFirstColumn="0" w:lastRowLastColumn="0"/>
            <w:tcW w:w="1444" w:type="dxa"/>
          </w:tcPr>
          <w:p w14:paraId="635FC62C" w14:textId="0F314BD8" w:rsidR="00FE74B2" w:rsidRDefault="007D700C" w:rsidP="0003710B">
            <w:pPr>
              <w:rPr>
                <w:rFonts w:ascii="Arial" w:hAnsi="Arial" w:cs="Arial"/>
                <w:sz w:val="24"/>
                <w:szCs w:val="24"/>
                <w:lang w:val="es-ES"/>
              </w:rPr>
            </w:pPr>
            <w:r>
              <w:rPr>
                <w:rFonts w:ascii="Arial" w:hAnsi="Arial" w:cs="Arial"/>
                <w:sz w:val="24"/>
                <w:szCs w:val="24"/>
                <w:lang w:val="es-ES"/>
              </w:rPr>
              <w:t>Japón</w:t>
            </w:r>
          </w:p>
        </w:tc>
        <w:tc>
          <w:tcPr>
            <w:tcW w:w="1417" w:type="dxa"/>
          </w:tcPr>
          <w:p w14:paraId="1C487A23" w14:textId="77777777" w:rsidR="00FE74B2"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p w14:paraId="26DAAEBA" w14:textId="77777777" w:rsidR="00F61AB7"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w:t>
            </w:r>
          </w:p>
          <w:p w14:paraId="6C427DDE" w14:textId="6EF19970" w:rsidR="00F61AB7"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atras</w:t>
            </w:r>
          </w:p>
        </w:tc>
        <w:tc>
          <w:tcPr>
            <w:tcW w:w="2670" w:type="dxa"/>
          </w:tcPr>
          <w:p w14:paraId="610AA3AC" w14:textId="77777777" w:rsidR="00FE74B2"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10 años</w:t>
            </w:r>
          </w:p>
          <w:p w14:paraId="6E34020F" w14:textId="77777777" w:rsidR="00F61AB7"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p w14:paraId="2114A047" w14:textId="77777777" w:rsidR="00F61AB7"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p>
          <w:p w14:paraId="4DE39F77" w14:textId="63C26BB4" w:rsidR="00F61AB7"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Un (1) año</w:t>
            </w:r>
          </w:p>
        </w:tc>
        <w:tc>
          <w:tcPr>
            <w:tcW w:w="2969" w:type="dxa"/>
          </w:tcPr>
          <w:p w14:paraId="30696EC6" w14:textId="5F0F4D06" w:rsidR="00FE74B2"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Tope 50% ganancia imponible</w:t>
            </w:r>
          </w:p>
        </w:tc>
      </w:tr>
      <w:tr w:rsidR="00FE74B2" w14:paraId="0699A528" w14:textId="77777777" w:rsidTr="003E1ED3">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444" w:type="dxa"/>
          </w:tcPr>
          <w:p w14:paraId="332A33D2" w14:textId="2D521F43" w:rsidR="00FE74B2" w:rsidRDefault="00F61AB7" w:rsidP="0003710B">
            <w:pPr>
              <w:rPr>
                <w:rFonts w:ascii="Arial" w:hAnsi="Arial" w:cs="Arial"/>
                <w:sz w:val="24"/>
                <w:szCs w:val="24"/>
                <w:lang w:val="es-ES"/>
              </w:rPr>
            </w:pPr>
            <w:r>
              <w:rPr>
                <w:rFonts w:ascii="Arial" w:hAnsi="Arial" w:cs="Arial"/>
                <w:sz w:val="24"/>
                <w:szCs w:val="24"/>
                <w:lang w:val="es-ES"/>
              </w:rPr>
              <w:t>Israel</w:t>
            </w:r>
          </w:p>
        </w:tc>
        <w:tc>
          <w:tcPr>
            <w:tcW w:w="1417" w:type="dxa"/>
          </w:tcPr>
          <w:p w14:paraId="7512BD07" w14:textId="7A498C63" w:rsidR="00FE74B2" w:rsidRDefault="00F61AB7"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70" w:type="dxa"/>
          </w:tcPr>
          <w:p w14:paraId="6AEAA928" w14:textId="43FE7D38" w:rsidR="00FE74B2" w:rsidRDefault="00F61AB7"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3E1ED3">
              <w:rPr>
                <w:rFonts w:ascii="Arial" w:hAnsi="Arial" w:cs="Arial"/>
                <w:sz w:val="24"/>
                <w:szCs w:val="24"/>
                <w:lang w:val="es-ES"/>
              </w:rPr>
              <w:t>límite</w:t>
            </w:r>
            <w:r>
              <w:rPr>
                <w:rFonts w:ascii="Arial" w:hAnsi="Arial" w:cs="Arial"/>
                <w:sz w:val="24"/>
                <w:szCs w:val="24"/>
                <w:lang w:val="es-ES"/>
              </w:rPr>
              <w:t xml:space="preserve"> de plazo</w:t>
            </w:r>
          </w:p>
        </w:tc>
        <w:tc>
          <w:tcPr>
            <w:tcW w:w="2969" w:type="dxa"/>
          </w:tcPr>
          <w:p w14:paraId="476847DC" w14:textId="1AEC098A" w:rsidR="00FE74B2" w:rsidRDefault="00F61AB7"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Hay ciertas restricciones </w:t>
            </w:r>
          </w:p>
        </w:tc>
      </w:tr>
      <w:tr w:rsidR="00FE74B2" w14:paraId="04F88F0F" w14:textId="77777777" w:rsidTr="003E1ED3">
        <w:trPr>
          <w:trHeight w:val="131"/>
        </w:trPr>
        <w:tc>
          <w:tcPr>
            <w:cnfStyle w:val="001000000000" w:firstRow="0" w:lastRow="0" w:firstColumn="1" w:lastColumn="0" w:oddVBand="0" w:evenVBand="0" w:oddHBand="0" w:evenHBand="0" w:firstRowFirstColumn="0" w:firstRowLastColumn="0" w:lastRowFirstColumn="0" w:lastRowLastColumn="0"/>
            <w:tcW w:w="1444" w:type="dxa"/>
          </w:tcPr>
          <w:p w14:paraId="4F61A807" w14:textId="51268FA6" w:rsidR="00FE74B2" w:rsidRDefault="00F61AB7" w:rsidP="0003710B">
            <w:pPr>
              <w:rPr>
                <w:rFonts w:ascii="Arial" w:hAnsi="Arial" w:cs="Arial"/>
                <w:sz w:val="24"/>
                <w:szCs w:val="24"/>
                <w:lang w:val="es-ES"/>
              </w:rPr>
            </w:pPr>
            <w:r>
              <w:rPr>
                <w:rFonts w:ascii="Arial" w:hAnsi="Arial" w:cs="Arial"/>
                <w:sz w:val="24"/>
                <w:szCs w:val="24"/>
                <w:lang w:val="es-ES"/>
              </w:rPr>
              <w:t>Dinamarca</w:t>
            </w:r>
          </w:p>
        </w:tc>
        <w:tc>
          <w:tcPr>
            <w:tcW w:w="1417" w:type="dxa"/>
          </w:tcPr>
          <w:p w14:paraId="7077ECBB" w14:textId="0E698E96" w:rsidR="00FE74B2"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70" w:type="dxa"/>
          </w:tcPr>
          <w:p w14:paraId="43C1BA1E" w14:textId="4E0DE914" w:rsidR="00FE74B2"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 xml:space="preserve">Sin </w:t>
            </w:r>
            <w:r w:rsidR="003E1ED3">
              <w:rPr>
                <w:rFonts w:ascii="Arial" w:hAnsi="Arial" w:cs="Arial"/>
                <w:sz w:val="24"/>
                <w:szCs w:val="24"/>
                <w:lang w:val="es-ES"/>
              </w:rPr>
              <w:t>límite</w:t>
            </w:r>
            <w:r>
              <w:rPr>
                <w:rFonts w:ascii="Arial" w:hAnsi="Arial" w:cs="Arial"/>
                <w:sz w:val="24"/>
                <w:szCs w:val="24"/>
                <w:lang w:val="es-ES"/>
              </w:rPr>
              <w:t xml:space="preserve"> de plazo</w:t>
            </w:r>
          </w:p>
        </w:tc>
        <w:tc>
          <w:tcPr>
            <w:tcW w:w="2969" w:type="dxa"/>
          </w:tcPr>
          <w:p w14:paraId="7A0DF839" w14:textId="27314AE9" w:rsidR="00FE74B2" w:rsidRDefault="00F61AB7" w:rsidP="0003710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Tope 60% ganancia imponible. Sin tope hasta cierto importe.</w:t>
            </w:r>
          </w:p>
        </w:tc>
      </w:tr>
      <w:tr w:rsidR="00FE74B2" w14:paraId="0DF24F3F" w14:textId="77777777" w:rsidTr="003E1ED3">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444" w:type="dxa"/>
          </w:tcPr>
          <w:p w14:paraId="4E94D8BD" w14:textId="7CC8FE6D" w:rsidR="00FE74B2" w:rsidRDefault="00F61AB7" w:rsidP="0003710B">
            <w:pPr>
              <w:rPr>
                <w:rFonts w:ascii="Arial" w:hAnsi="Arial" w:cs="Arial"/>
                <w:sz w:val="24"/>
                <w:szCs w:val="24"/>
                <w:lang w:val="es-ES"/>
              </w:rPr>
            </w:pPr>
            <w:r>
              <w:rPr>
                <w:rFonts w:ascii="Arial" w:hAnsi="Arial" w:cs="Arial"/>
                <w:sz w:val="24"/>
                <w:szCs w:val="24"/>
                <w:lang w:val="es-ES"/>
              </w:rPr>
              <w:t>China Popular</w:t>
            </w:r>
          </w:p>
        </w:tc>
        <w:tc>
          <w:tcPr>
            <w:tcW w:w="1417" w:type="dxa"/>
          </w:tcPr>
          <w:p w14:paraId="3F4B9D88" w14:textId="0897B3DC" w:rsidR="00FE74B2" w:rsidRDefault="00F61AB7"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Hacia adelante</w:t>
            </w:r>
          </w:p>
        </w:tc>
        <w:tc>
          <w:tcPr>
            <w:tcW w:w="2670" w:type="dxa"/>
          </w:tcPr>
          <w:p w14:paraId="52E74033" w14:textId="0D6A91BC" w:rsidR="00FE74B2" w:rsidRDefault="00F61AB7"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5 años</w:t>
            </w:r>
          </w:p>
        </w:tc>
        <w:tc>
          <w:tcPr>
            <w:tcW w:w="2969" w:type="dxa"/>
          </w:tcPr>
          <w:p w14:paraId="0C96BD8C" w14:textId="43FB9C9B" w:rsidR="00FE74B2" w:rsidRDefault="00F61AB7" w:rsidP="0003710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rPr>
            </w:pPr>
            <w:r>
              <w:rPr>
                <w:rFonts w:ascii="Arial" w:hAnsi="Arial" w:cs="Arial"/>
                <w:sz w:val="24"/>
                <w:szCs w:val="24"/>
                <w:lang w:val="es-ES"/>
              </w:rPr>
              <w:t>10 años para PyMes y tecnológicas.</w:t>
            </w:r>
          </w:p>
        </w:tc>
      </w:tr>
    </w:tbl>
    <w:p w14:paraId="71375D63" w14:textId="1F525AAB" w:rsidR="002F3D20" w:rsidRDefault="002F3D20" w:rsidP="00F650AF">
      <w:pPr>
        <w:rPr>
          <w:rFonts w:ascii="Arial" w:hAnsi="Arial" w:cs="Arial"/>
          <w:sz w:val="24"/>
          <w:szCs w:val="24"/>
          <w:lang w:val="es-ES"/>
        </w:rPr>
      </w:pPr>
    </w:p>
    <w:p w14:paraId="7C9FE420" w14:textId="07856AFF" w:rsidR="00485D81" w:rsidRDefault="00485D81" w:rsidP="006A61A0">
      <w:pPr>
        <w:jc w:val="both"/>
        <w:rPr>
          <w:rFonts w:ascii="Arial" w:hAnsi="Arial" w:cs="Arial"/>
          <w:sz w:val="24"/>
          <w:szCs w:val="24"/>
          <w:lang w:val="es-ES"/>
        </w:rPr>
      </w:pPr>
      <w:r>
        <w:rPr>
          <w:rFonts w:ascii="Arial" w:hAnsi="Arial" w:cs="Arial"/>
          <w:sz w:val="24"/>
          <w:szCs w:val="24"/>
          <w:lang w:val="es-ES"/>
        </w:rPr>
        <w:t xml:space="preserve">En el grupo de países precedentes, ajenos al área latinoamericana, se confirma en términos generales el computo de los quebrantos sin </w:t>
      </w:r>
      <w:r w:rsidR="006A61A0">
        <w:rPr>
          <w:rFonts w:ascii="Arial" w:hAnsi="Arial" w:cs="Arial"/>
          <w:sz w:val="24"/>
          <w:szCs w:val="24"/>
          <w:lang w:val="es-ES"/>
        </w:rPr>
        <w:t>límite</w:t>
      </w:r>
      <w:r>
        <w:rPr>
          <w:rFonts w:ascii="Arial" w:hAnsi="Arial" w:cs="Arial"/>
          <w:sz w:val="24"/>
          <w:szCs w:val="24"/>
          <w:lang w:val="es-ES"/>
        </w:rPr>
        <w:t xml:space="preserve"> de plazo – </w:t>
      </w:r>
      <w:r w:rsidR="000D6600">
        <w:rPr>
          <w:rFonts w:ascii="Arial" w:hAnsi="Arial" w:cs="Arial"/>
          <w:sz w:val="24"/>
          <w:szCs w:val="24"/>
          <w:lang w:val="es-ES"/>
        </w:rPr>
        <w:t>en algunos casos</w:t>
      </w:r>
      <w:r>
        <w:rPr>
          <w:rFonts w:ascii="Arial" w:hAnsi="Arial" w:cs="Arial"/>
          <w:sz w:val="24"/>
          <w:szCs w:val="24"/>
          <w:lang w:val="es-ES"/>
        </w:rPr>
        <w:t xml:space="preserve"> </w:t>
      </w:r>
      <w:r w:rsidR="000B6B88">
        <w:rPr>
          <w:rFonts w:ascii="Arial" w:hAnsi="Arial" w:cs="Arial"/>
          <w:sz w:val="24"/>
          <w:szCs w:val="24"/>
          <w:lang w:val="es-ES"/>
        </w:rPr>
        <w:t xml:space="preserve">porcentajes </w:t>
      </w:r>
      <w:r>
        <w:rPr>
          <w:rFonts w:ascii="Arial" w:hAnsi="Arial" w:cs="Arial"/>
          <w:sz w:val="24"/>
          <w:szCs w:val="24"/>
          <w:lang w:val="es-ES"/>
        </w:rPr>
        <w:t xml:space="preserve">razonables de </w:t>
      </w:r>
      <w:r w:rsidR="000B6B88">
        <w:rPr>
          <w:rFonts w:ascii="Arial" w:hAnsi="Arial" w:cs="Arial"/>
          <w:sz w:val="24"/>
          <w:szCs w:val="24"/>
          <w:lang w:val="es-ES"/>
        </w:rPr>
        <w:t xml:space="preserve">afectación </w:t>
      </w:r>
      <w:r>
        <w:rPr>
          <w:rFonts w:ascii="Arial" w:hAnsi="Arial" w:cs="Arial"/>
          <w:sz w:val="24"/>
          <w:szCs w:val="24"/>
          <w:lang w:val="es-ES"/>
        </w:rPr>
        <w:t xml:space="preserve">contra ganancias futuras – y lo </w:t>
      </w:r>
      <w:r w:rsidR="006A61A0">
        <w:rPr>
          <w:rFonts w:ascii="Arial" w:hAnsi="Arial" w:cs="Arial"/>
          <w:sz w:val="24"/>
          <w:szCs w:val="24"/>
          <w:lang w:val="es-ES"/>
        </w:rPr>
        <w:t>más</w:t>
      </w:r>
      <w:r>
        <w:rPr>
          <w:rFonts w:ascii="Arial" w:hAnsi="Arial" w:cs="Arial"/>
          <w:sz w:val="24"/>
          <w:szCs w:val="24"/>
          <w:lang w:val="es-ES"/>
        </w:rPr>
        <w:t xml:space="preserve"> interesante, la posibilidad acotada de obtener un recupero de impuestos sobre la base de </w:t>
      </w:r>
      <w:r w:rsidR="00B974B1">
        <w:rPr>
          <w:rFonts w:ascii="Arial" w:hAnsi="Arial" w:cs="Arial"/>
          <w:sz w:val="24"/>
          <w:szCs w:val="24"/>
          <w:lang w:val="es-ES"/>
        </w:rPr>
        <w:t xml:space="preserve">la </w:t>
      </w:r>
      <w:r w:rsidR="006A61A0">
        <w:rPr>
          <w:rFonts w:ascii="Arial" w:hAnsi="Arial" w:cs="Arial"/>
          <w:sz w:val="24"/>
          <w:szCs w:val="24"/>
          <w:lang w:val="es-ES"/>
        </w:rPr>
        <w:t>traslación</w:t>
      </w:r>
      <w:r w:rsidR="00B974B1">
        <w:rPr>
          <w:rFonts w:ascii="Arial" w:hAnsi="Arial" w:cs="Arial"/>
          <w:sz w:val="24"/>
          <w:szCs w:val="24"/>
          <w:lang w:val="es-ES"/>
        </w:rPr>
        <w:t xml:space="preserve"> hacia atrás de los quebrantos fiscales.</w:t>
      </w:r>
      <w:r>
        <w:rPr>
          <w:rFonts w:ascii="Arial" w:hAnsi="Arial" w:cs="Arial"/>
          <w:sz w:val="24"/>
          <w:szCs w:val="24"/>
          <w:lang w:val="es-ES"/>
        </w:rPr>
        <w:t xml:space="preserve"> </w:t>
      </w:r>
      <w:r w:rsidR="000B6B88">
        <w:rPr>
          <w:rFonts w:ascii="Arial" w:hAnsi="Arial" w:cs="Arial"/>
          <w:sz w:val="24"/>
          <w:szCs w:val="24"/>
          <w:lang w:val="es-ES"/>
        </w:rPr>
        <w:t>Recupero de impuestos que han ampliado o implementado frente a los perjuicios derivados de la pandemia Covid-19.</w:t>
      </w:r>
    </w:p>
    <w:p w14:paraId="5551DEE1" w14:textId="77777777" w:rsidR="00897507" w:rsidRPr="00203017" w:rsidRDefault="00897507" w:rsidP="006A61A0">
      <w:pPr>
        <w:jc w:val="both"/>
        <w:rPr>
          <w:rFonts w:ascii="Arial" w:hAnsi="Arial" w:cs="Arial"/>
          <w:sz w:val="24"/>
          <w:szCs w:val="24"/>
          <w:lang w:val="es-ES"/>
        </w:rPr>
      </w:pPr>
    </w:p>
    <w:sectPr w:rsidR="00897507" w:rsidRPr="00203017" w:rsidSect="00203017">
      <w:endnotePr>
        <w:numFmt w:val="decimal"/>
      </w:endnotePr>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F40B95" w14:textId="77777777" w:rsidR="00CD5C83" w:rsidRDefault="00CD5C83" w:rsidP="00DC412A">
      <w:r>
        <w:separator/>
      </w:r>
    </w:p>
  </w:endnote>
  <w:endnote w:type="continuationSeparator" w:id="0">
    <w:p w14:paraId="59A7C927" w14:textId="77777777" w:rsidR="00CD5C83" w:rsidRDefault="00CD5C83" w:rsidP="00DC412A">
      <w:r>
        <w:continuationSeparator/>
      </w:r>
    </w:p>
  </w:endnote>
  <w:endnote w:id="1">
    <w:p w14:paraId="58CB6493" w14:textId="73A8B736" w:rsidR="00CD5C83" w:rsidRDefault="00CD5C83" w:rsidP="00C60CDA">
      <w:pPr>
        <w:pStyle w:val="Textonotaalfinal"/>
        <w:jc w:val="both"/>
        <w:rPr>
          <w:rFonts w:ascii="Arial" w:eastAsia="Times New Roman" w:hAnsi="Arial" w:cs="Arial"/>
          <w:color w:val="000000"/>
          <w:lang w:eastAsia="es-AR"/>
        </w:rPr>
      </w:pPr>
      <w:r>
        <w:rPr>
          <w:rStyle w:val="Refdenotaalfinal"/>
        </w:rPr>
        <w:endnoteRef/>
      </w:r>
      <w:r>
        <w:t xml:space="preserve"> </w:t>
      </w:r>
      <w:r w:rsidRPr="0076068E">
        <w:rPr>
          <w:rFonts w:ascii="Arial" w:eastAsia="Times New Roman" w:hAnsi="Arial" w:cs="Arial"/>
          <w:color w:val="000000"/>
          <w:lang w:eastAsia="es-AR"/>
        </w:rPr>
        <w:t>Voto en disidencia de los jueces Marco Aurelio Risolía y Margarita Argúas en la causa  Papelera Pedotti S.A., CSJN, 26/04/1971. Definición utilizada en varios precedentes posteriores Banco de Mendoza (Fallos: 321:1013), Swift Armour S.A., CSJN, 10/04/2012.</w:t>
      </w:r>
    </w:p>
    <w:p w14:paraId="2A899AC3" w14:textId="77777777" w:rsidR="00CD5C83" w:rsidRDefault="00CD5C83" w:rsidP="00C60CDA">
      <w:pPr>
        <w:pStyle w:val="Textonotaalfinal"/>
        <w:jc w:val="both"/>
      </w:pPr>
    </w:p>
  </w:endnote>
  <w:endnote w:id="2">
    <w:p w14:paraId="5154B013" w14:textId="562BB5DB" w:rsidR="00CD5C83" w:rsidRPr="0076068E" w:rsidRDefault="00CD5C83" w:rsidP="0076068E">
      <w:pPr>
        <w:pStyle w:val="sangrianovedades"/>
        <w:spacing w:before="0" w:beforeAutospacing="0" w:after="0" w:afterAutospacing="0"/>
        <w:ind w:right="105"/>
        <w:jc w:val="both"/>
        <w:rPr>
          <w:rFonts w:ascii="Arial" w:hAnsi="Arial" w:cs="Arial"/>
          <w:color w:val="000000"/>
          <w:sz w:val="20"/>
          <w:szCs w:val="20"/>
        </w:rPr>
      </w:pPr>
      <w:r>
        <w:rPr>
          <w:rStyle w:val="Refdenotaalfinal"/>
        </w:rPr>
        <w:endnoteRef/>
      </w:r>
      <w:r>
        <w:t xml:space="preserve"> </w:t>
      </w:r>
      <w:r w:rsidRPr="0076068E">
        <w:rPr>
          <w:rFonts w:ascii="Arial" w:hAnsi="Arial" w:cs="Arial"/>
          <w:b/>
          <w:bCs/>
          <w:color w:val="000000"/>
          <w:sz w:val="20"/>
          <w:szCs w:val="20"/>
        </w:rPr>
        <w:t>Art. 25</w:t>
      </w:r>
      <w:r w:rsidRPr="0076068E">
        <w:rPr>
          <w:rFonts w:ascii="Arial" w:hAnsi="Arial" w:cs="Arial"/>
          <w:color w:val="000000"/>
          <w:sz w:val="20"/>
          <w:szCs w:val="20"/>
        </w:rPr>
        <w:t xml:space="preserve"> de la LIG: Para establecer el conjunto de las ganancias netas de fuente argentina de las personas humanas y sucesiones indivisas residentes en el país, se compensarán los resultados netos obtenidos en el año fiscal, dentro de cada una y entre las distintas categorías.</w:t>
      </w:r>
    </w:p>
    <w:p w14:paraId="38F3B0C1" w14:textId="77777777" w:rsidR="00CD5C83" w:rsidRPr="0076068E"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En primer término, dicha compensación se realizará respecto de los resultados netos obtenidos dentro de cada categoría, con excepción de las ganancias provenientes de las inversiones -incluidas las monedas digitales- y operaciones a las que hace referencia el Capítulo II del Título IV de esta ley. Asimismo, de generarse quebranto por ese tipo de inversiones y operaciones, este resultará de naturaleza específica debiendo, por lo tanto, compensarse exclusivamente con ganancias futuras de su misma fuente y clase. Se entiende por clase, al conjunto de ganancias comprendidas en cada uno de los artículos del citado Capítulo II.</w:t>
      </w:r>
    </w:p>
    <w:p w14:paraId="2DBDD71F" w14:textId="77777777" w:rsidR="00CD5C83" w:rsidRPr="0076068E" w:rsidRDefault="00CD5C83" w:rsidP="0076068E">
      <w:pPr>
        <w:ind w:right="105"/>
        <w:jc w:val="both"/>
        <w:rPr>
          <w:rFonts w:ascii="Arial" w:eastAsia="Times New Roman" w:hAnsi="Arial" w:cs="Arial"/>
          <w:color w:val="000000"/>
          <w:sz w:val="20"/>
          <w:szCs w:val="20"/>
          <w:lang w:eastAsia="es-AR"/>
        </w:rPr>
      </w:pPr>
    </w:p>
    <w:p w14:paraId="77D0AC82" w14:textId="2DE4632F" w:rsidR="00CD5C83" w:rsidRPr="0076068E"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Si por aplicación de la compensación indicada en el párrafo precedente resultaran quebrantos en una o más categorías, la suma de estos se compensará con las ganancias netas de las categorías segunda, primera, tercera y cuarta, sucesivamente.</w:t>
      </w:r>
    </w:p>
    <w:p w14:paraId="7F3D8098" w14:textId="77777777" w:rsidR="00CD5C83" w:rsidRPr="0076068E" w:rsidRDefault="00CD5C83" w:rsidP="0076068E">
      <w:pPr>
        <w:ind w:right="105"/>
        <w:jc w:val="both"/>
        <w:rPr>
          <w:rFonts w:ascii="Arial" w:eastAsia="Times New Roman" w:hAnsi="Arial" w:cs="Arial"/>
          <w:color w:val="000000"/>
          <w:sz w:val="20"/>
          <w:szCs w:val="20"/>
          <w:lang w:eastAsia="es-AR"/>
        </w:rPr>
      </w:pPr>
    </w:p>
    <w:p w14:paraId="1B76F39C" w14:textId="66F279F4" w:rsidR="00CD5C83" w:rsidRPr="0076068E"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A los efectos de este artículo no se considerarán pérdidas los importes que la ley autoriza a deducir por los conceptos indicados en el artículo 30.</w:t>
      </w:r>
    </w:p>
    <w:p w14:paraId="15DA2720" w14:textId="77777777" w:rsidR="00CD5C83" w:rsidRPr="0076068E" w:rsidRDefault="00CD5C83" w:rsidP="0076068E">
      <w:pPr>
        <w:ind w:right="105"/>
        <w:jc w:val="both"/>
        <w:rPr>
          <w:rFonts w:ascii="Arial" w:eastAsia="Times New Roman" w:hAnsi="Arial" w:cs="Arial"/>
          <w:color w:val="000000"/>
          <w:sz w:val="20"/>
          <w:szCs w:val="20"/>
          <w:lang w:eastAsia="es-AR"/>
        </w:rPr>
      </w:pPr>
    </w:p>
    <w:p w14:paraId="3D6C6F3B" w14:textId="757B4A31" w:rsidR="00CD5C83" w:rsidRPr="0076068E"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Respecto de los sujetos comprendidos en el artículo 53, incisos a), b), c), d), e) y en su último párrafo, se considerarán como de naturaleza específica los quebrantos provenientes de:</w:t>
      </w:r>
    </w:p>
    <w:p w14:paraId="59707815" w14:textId="77777777" w:rsidR="00CD5C83" w:rsidRPr="0076068E" w:rsidRDefault="00CD5C83" w:rsidP="0076068E">
      <w:pPr>
        <w:ind w:right="105"/>
        <w:jc w:val="both"/>
        <w:rPr>
          <w:rFonts w:ascii="Arial" w:eastAsia="Times New Roman" w:hAnsi="Arial" w:cs="Arial"/>
          <w:color w:val="000000"/>
          <w:sz w:val="20"/>
          <w:szCs w:val="20"/>
          <w:lang w:eastAsia="es-AR"/>
        </w:rPr>
      </w:pPr>
    </w:p>
    <w:p w14:paraId="03F3EFD2" w14:textId="6D1BAAB3" w:rsidR="00CD5C83" w:rsidRPr="0076068E" w:rsidRDefault="00CD5C83" w:rsidP="0076068E">
      <w:pPr>
        <w:ind w:left="270"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a) La enajenación de acciones, valores representativos y certificados de depósito de acciones y demás valores, cuotas y participaciones sociales -incluidas cuotapartes de fondos comunes de inversión y certificados de participación de fideicomisos financieros y cualquier otro derecho sobre fideicomisos y contratos similares-, monedas digitales, títulos, bonos y demás valores, cualquiera sea el sujeto que las obtenga.</w:t>
      </w:r>
    </w:p>
    <w:p w14:paraId="1A721F79" w14:textId="77777777" w:rsidR="00CD5C83" w:rsidRPr="0076068E" w:rsidRDefault="00CD5C83" w:rsidP="00C60CDA">
      <w:pPr>
        <w:ind w:left="270" w:right="105"/>
        <w:jc w:val="both"/>
        <w:rPr>
          <w:rFonts w:ascii="Arial" w:eastAsia="Times New Roman" w:hAnsi="Arial" w:cs="Arial"/>
          <w:color w:val="000000"/>
          <w:sz w:val="20"/>
          <w:szCs w:val="20"/>
          <w:lang w:eastAsia="es-AR"/>
        </w:rPr>
      </w:pPr>
    </w:p>
    <w:p w14:paraId="40440668" w14:textId="4ABB9C90" w:rsidR="00CD5C83" w:rsidRPr="0076068E" w:rsidRDefault="00CD5C83" w:rsidP="0076068E">
      <w:pPr>
        <w:ind w:left="270"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b) La realización de las actividades a las que alude el segundo párrafo del artículo 73.</w:t>
      </w:r>
    </w:p>
    <w:p w14:paraId="325A3EBC" w14:textId="77777777" w:rsidR="00CD5C83" w:rsidRPr="0076068E" w:rsidRDefault="00CD5C83" w:rsidP="0076068E">
      <w:pPr>
        <w:ind w:right="105"/>
        <w:jc w:val="both"/>
        <w:rPr>
          <w:rFonts w:ascii="Arial" w:eastAsia="Times New Roman" w:hAnsi="Arial" w:cs="Arial"/>
          <w:color w:val="000000"/>
          <w:sz w:val="20"/>
          <w:szCs w:val="20"/>
          <w:lang w:eastAsia="es-AR"/>
        </w:rPr>
      </w:pPr>
    </w:p>
    <w:p w14:paraId="0CB6A9B0" w14:textId="272E32A9" w:rsidR="00CD5C83" w:rsidRPr="0076068E"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Asimismo, y cualquiera fuera el sujeto que los experimente, serán considerados como de naturaleza específica los quebrantos generados por derechos y obligaciones emergentes de instrumentos o contratos derivados, a excepción de las operaciones de cobertura. A estos efectos, una transacción o contrato derivado se considerará como operación de cobertura si tiene por objeto reducir el efecto de las futuras fluctuaciones en precios o tasas de mercado, sobre los bienes, deudas y resultados de la o las actividades económicas principales.</w:t>
      </w:r>
    </w:p>
    <w:p w14:paraId="76FD14BC" w14:textId="77777777" w:rsidR="00CD5C83" w:rsidRPr="0076068E" w:rsidRDefault="00CD5C83" w:rsidP="0076068E">
      <w:pPr>
        <w:ind w:right="105"/>
        <w:jc w:val="both"/>
        <w:rPr>
          <w:rFonts w:ascii="Arial" w:eastAsia="Times New Roman" w:hAnsi="Arial" w:cs="Arial"/>
          <w:color w:val="000000"/>
          <w:sz w:val="20"/>
          <w:szCs w:val="20"/>
          <w:lang w:eastAsia="es-AR"/>
        </w:rPr>
      </w:pPr>
    </w:p>
    <w:p w14:paraId="5698799C" w14:textId="4B2574C2" w:rsidR="00CD5C83" w:rsidRPr="0076068E"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Los quebrantos experimentados a raíz de actividades vinculadas con la exploración y explotación de recursos naturales vivos y no vivos, desarrolladas en la plataforma continental y en la zona económica exclusiva de la República Argentina incluidas las islas artificiales, instalaciones y estructuras establecidas en dicha zona, solo podrán compensarse con ganancias netas de fuente argentina.</w:t>
      </w:r>
    </w:p>
    <w:p w14:paraId="433B9118" w14:textId="77777777" w:rsidR="00CD5C83" w:rsidRPr="0076068E" w:rsidRDefault="00CD5C83" w:rsidP="0076068E">
      <w:pPr>
        <w:ind w:right="105"/>
        <w:jc w:val="both"/>
        <w:rPr>
          <w:rFonts w:ascii="Arial" w:eastAsia="Times New Roman" w:hAnsi="Arial" w:cs="Arial"/>
          <w:color w:val="000000"/>
          <w:sz w:val="20"/>
          <w:szCs w:val="20"/>
          <w:lang w:eastAsia="es-AR"/>
        </w:rPr>
      </w:pPr>
    </w:p>
    <w:p w14:paraId="0647D382" w14:textId="77777777" w:rsidR="00CD5C83"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No serán compensables los quebrantos impositivos con ganancias que deban tributar el impuesto con carácter único y definitivo ni con aquellas comprendidas en el Capítulo II del Título IV.</w:t>
      </w:r>
    </w:p>
    <w:p w14:paraId="1F034A20" w14:textId="77777777" w:rsidR="00CD5C83" w:rsidRDefault="00CD5C83" w:rsidP="0076068E">
      <w:pPr>
        <w:ind w:right="105"/>
        <w:jc w:val="both"/>
        <w:rPr>
          <w:rFonts w:ascii="Arial" w:eastAsia="Times New Roman" w:hAnsi="Arial" w:cs="Arial"/>
          <w:color w:val="000000"/>
          <w:sz w:val="20"/>
          <w:szCs w:val="20"/>
          <w:lang w:eastAsia="es-AR"/>
        </w:rPr>
      </w:pPr>
    </w:p>
    <w:p w14:paraId="31EDF85A" w14:textId="0C89D6D4" w:rsidR="00CD5C83" w:rsidRPr="0076068E"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El quebranto impositivo sufrido en un período fiscal que no pueda absorberse con ganancias gravadas del mismo período podrá deducirse de las ganancias gravadas que se obtengan en los años inmediatos siguientes. Transcurridos cinco (5) años - computados de acuerdo con lo dispuesto por el CCyCo.- después de aquel en que se produjo la pérdida, no podrá hacerse deducción alguna del quebranto que aún reste, en ejercicios sucesivos.</w:t>
      </w:r>
    </w:p>
    <w:p w14:paraId="524990A3" w14:textId="77777777" w:rsidR="00CD5C83" w:rsidRPr="0076068E" w:rsidRDefault="00CD5C83" w:rsidP="0076068E">
      <w:pPr>
        <w:ind w:right="105"/>
        <w:jc w:val="both"/>
        <w:rPr>
          <w:rFonts w:ascii="Arial" w:eastAsia="Times New Roman" w:hAnsi="Arial" w:cs="Arial"/>
          <w:color w:val="000000"/>
          <w:sz w:val="20"/>
          <w:szCs w:val="20"/>
          <w:lang w:eastAsia="es-AR"/>
        </w:rPr>
      </w:pPr>
    </w:p>
    <w:p w14:paraId="115D68EB" w14:textId="388B47AD" w:rsidR="00CD5C83" w:rsidRPr="0076068E"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Los quebrantos considerados de naturaleza específica solo podrán computarse contra las utilidades netas de la misma fuente y que provengan de igual tipo de operaciones en el año fiscal en el que se experimentaron las pérdidas o en los cinco (5) años inmediatos siguientes -computados de acuerdo a lo dispuesto por el CCyCo.-.</w:t>
      </w:r>
    </w:p>
    <w:p w14:paraId="5C9D1597" w14:textId="77777777" w:rsidR="00CD5C83" w:rsidRPr="0076068E" w:rsidRDefault="00CD5C83" w:rsidP="0076068E">
      <w:pPr>
        <w:ind w:left="105" w:right="105"/>
        <w:jc w:val="both"/>
        <w:rPr>
          <w:rFonts w:ascii="Arial" w:eastAsia="Times New Roman" w:hAnsi="Arial" w:cs="Arial"/>
          <w:color w:val="000000"/>
          <w:sz w:val="20"/>
          <w:szCs w:val="20"/>
          <w:lang w:eastAsia="es-AR"/>
        </w:rPr>
      </w:pPr>
    </w:p>
    <w:p w14:paraId="478EB924" w14:textId="6B3EA06B" w:rsidR="00CD5C83" w:rsidRPr="0076068E"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Los quebrantos se actualizarán teniendo en cuenta la variación del Índice de Precios Internos al por Mayor (IPIM), publicado por el Instituto Nacional de Estadística y Censos, organismo desconcentrado actuante en el ámbito del Ministerio de Hacienda, operada entre el mes de cierre del ejercicio fiscal en que se originaron y el mes de cierre del ejercicio fiscal que se liquida.</w:t>
      </w:r>
    </w:p>
    <w:p w14:paraId="19392818" w14:textId="77777777" w:rsidR="00CD5C83" w:rsidRPr="0076068E" w:rsidRDefault="00CD5C83" w:rsidP="0076068E">
      <w:pPr>
        <w:ind w:left="105" w:right="105"/>
        <w:jc w:val="both"/>
        <w:rPr>
          <w:rFonts w:ascii="Arial" w:eastAsia="Times New Roman" w:hAnsi="Arial" w:cs="Arial"/>
          <w:color w:val="000000"/>
          <w:sz w:val="20"/>
          <w:szCs w:val="20"/>
          <w:lang w:eastAsia="es-AR"/>
        </w:rPr>
      </w:pPr>
    </w:p>
    <w:p w14:paraId="109E23A0" w14:textId="7C030653" w:rsidR="00CD5C83" w:rsidRDefault="00CD5C83" w:rsidP="0076068E">
      <w:pPr>
        <w:ind w:right="105"/>
        <w:jc w:val="both"/>
        <w:rPr>
          <w:rFonts w:ascii="Arial" w:eastAsia="Times New Roman" w:hAnsi="Arial" w:cs="Arial"/>
          <w:color w:val="000000"/>
          <w:sz w:val="20"/>
          <w:szCs w:val="20"/>
          <w:lang w:eastAsia="es-AR"/>
        </w:rPr>
      </w:pPr>
      <w:r w:rsidRPr="0076068E">
        <w:rPr>
          <w:rFonts w:ascii="Arial" w:eastAsia="Times New Roman" w:hAnsi="Arial" w:cs="Arial"/>
          <w:color w:val="000000"/>
          <w:sz w:val="20"/>
          <w:szCs w:val="20"/>
          <w:lang w:eastAsia="es-AR"/>
        </w:rPr>
        <w:t>Los quebrantos provenientes de actividades cuyos resultados se consideren de fuente extranjera, solo podrán compensarse con ganancias de esa misma fuente y se regirán por las disposiciones del artículo 131 de esta ley.</w:t>
      </w:r>
    </w:p>
    <w:p w14:paraId="1B16960A" w14:textId="77777777" w:rsidR="00CD5C83" w:rsidRDefault="00CD5C83" w:rsidP="0076068E">
      <w:pPr>
        <w:ind w:right="105"/>
        <w:jc w:val="both"/>
      </w:pPr>
    </w:p>
  </w:endnote>
  <w:endnote w:id="3">
    <w:p w14:paraId="30D084E2" w14:textId="4C86C916" w:rsidR="00CD5C83" w:rsidRDefault="00CD5C83" w:rsidP="0076068E">
      <w:pPr>
        <w:pStyle w:val="Textonotaalfinal"/>
        <w:rPr>
          <w:rFonts w:ascii="Arial" w:hAnsi="Arial" w:cs="Arial"/>
        </w:rPr>
      </w:pPr>
      <w:r>
        <w:rPr>
          <w:rStyle w:val="Refdenotaalfinal"/>
        </w:rPr>
        <w:endnoteRef/>
      </w:r>
      <w:r w:rsidRPr="00DE5CB5">
        <w:rPr>
          <w:lang w:val="es-ES"/>
        </w:rPr>
        <w:t xml:space="preserve"> </w:t>
      </w:r>
      <w:r w:rsidRPr="00DE5CB5">
        <w:rPr>
          <w:rFonts w:ascii="Arial" w:eastAsia="Times New Roman" w:hAnsi="Arial" w:cs="Arial"/>
          <w:color w:val="000000"/>
          <w:lang w:val="es-ES" w:eastAsia="es-AR"/>
        </w:rPr>
        <w:t>“</w:t>
      </w:r>
      <w:r w:rsidRPr="0076068E">
        <w:rPr>
          <w:rFonts w:ascii="Arial" w:hAnsi="Arial" w:cs="Arial"/>
        </w:rPr>
        <w:t>Maleic S.A.”, CSJN, , 14/08/2007.</w:t>
      </w:r>
    </w:p>
    <w:p w14:paraId="69DD2775" w14:textId="77777777" w:rsidR="00CD5C83" w:rsidRPr="0076068E" w:rsidRDefault="00CD5C83" w:rsidP="0076068E">
      <w:pPr>
        <w:pStyle w:val="Textonotaalfinal"/>
        <w:rPr>
          <w:rFonts w:ascii="Arial" w:hAnsi="Arial" w:cs="Arial"/>
        </w:rPr>
      </w:pPr>
    </w:p>
  </w:endnote>
  <w:endnote w:id="4">
    <w:p w14:paraId="0A6CF1BC" w14:textId="643FA4DE" w:rsidR="00CD5C83" w:rsidRDefault="00CD5C83" w:rsidP="0076068E">
      <w:pPr>
        <w:pStyle w:val="Textonotaalfinal"/>
        <w:jc w:val="both"/>
        <w:rPr>
          <w:rFonts w:ascii="Arial" w:hAnsi="Arial" w:cs="Arial"/>
        </w:rPr>
      </w:pPr>
      <w:r>
        <w:rPr>
          <w:rStyle w:val="Refdenotaalfinal"/>
        </w:rPr>
        <w:endnoteRef/>
      </w:r>
      <w:r>
        <w:t xml:space="preserve"> </w:t>
      </w:r>
      <w:r w:rsidRPr="00F650AF">
        <w:rPr>
          <w:rFonts w:ascii="Arial" w:hAnsi="Arial" w:cs="Arial"/>
        </w:rPr>
        <w:t>La evolución del plazo para el cómputo de los quebrantos desde la Ley de Impuesto a los Réditos se puede ver Giuliani Fonrouge, Carlos M.: Compensación de quebrantos con ganancias posteriores, Impuestos, 1990-B, 1791.</w:t>
      </w:r>
    </w:p>
    <w:p w14:paraId="78A4D207" w14:textId="77777777" w:rsidR="00CD5C83" w:rsidRDefault="00CD5C83" w:rsidP="0076068E">
      <w:pPr>
        <w:pStyle w:val="Textonotaalfinal"/>
        <w:jc w:val="both"/>
      </w:pPr>
    </w:p>
  </w:endnote>
  <w:endnote w:id="5">
    <w:p w14:paraId="0251CB2C" w14:textId="661A60A2" w:rsidR="00CD5C83" w:rsidRDefault="00CD5C83" w:rsidP="0076068E">
      <w:pPr>
        <w:pStyle w:val="Textoindependiente"/>
        <w:rPr>
          <w:rFonts w:ascii="Arial" w:eastAsia="Calibri" w:hAnsi="Arial" w:cs="Arial"/>
          <w:sz w:val="20"/>
          <w:lang w:val="es-AR" w:eastAsia="en-US"/>
        </w:rPr>
      </w:pPr>
      <w:r>
        <w:rPr>
          <w:rStyle w:val="Refdenotaalfinal"/>
        </w:rPr>
        <w:endnoteRef/>
      </w:r>
      <w:r>
        <w:t xml:space="preserve"> </w:t>
      </w:r>
      <w:r w:rsidRPr="00CE4030">
        <w:rPr>
          <w:rFonts w:ascii="Arial" w:eastAsia="Calibri" w:hAnsi="Arial" w:cs="Arial"/>
          <w:sz w:val="20"/>
          <w:lang w:val="es-AR" w:eastAsia="en-US"/>
        </w:rPr>
        <w:t xml:space="preserve">Las Leyes N° 24.073 y N° 24.463 establecieron la imposibilidad del cómputo de los quebrantos originados en ejercicios fiscales cerrados hasta el 31 de marzo de 1991 y su conversión en bonos de crédito fiscal.  La CSJN tuvo oportunidad de expedirse en Banco de Mendoza S.A </w:t>
      </w:r>
      <w:r>
        <w:rPr>
          <w:rFonts w:ascii="Arial" w:eastAsia="Calibri" w:hAnsi="Arial" w:cs="Arial"/>
          <w:sz w:val="20"/>
          <w:lang w:val="es-AR" w:eastAsia="en-US"/>
        </w:rPr>
        <w:t>(</w:t>
      </w:r>
      <w:r w:rsidRPr="00CE4030">
        <w:rPr>
          <w:rFonts w:ascii="Arial" w:eastAsia="Calibri" w:hAnsi="Arial" w:cs="Arial"/>
          <w:sz w:val="20"/>
          <w:lang w:val="es-AR" w:eastAsia="en-US"/>
        </w:rPr>
        <w:t>CSJN, 08/05/2001, Fallos 324:1481</w:t>
      </w:r>
      <w:r>
        <w:rPr>
          <w:rFonts w:ascii="Arial" w:eastAsia="Calibri" w:hAnsi="Arial" w:cs="Arial"/>
          <w:sz w:val="20"/>
          <w:lang w:val="es-AR" w:eastAsia="en-US"/>
        </w:rPr>
        <w:t xml:space="preserve">) </w:t>
      </w:r>
      <w:r w:rsidRPr="00CE4030">
        <w:rPr>
          <w:rFonts w:ascii="Arial" w:eastAsia="Calibri" w:hAnsi="Arial" w:cs="Arial"/>
          <w:sz w:val="20"/>
          <w:lang w:val="es-AR" w:eastAsia="en-US"/>
        </w:rPr>
        <w:t>y en Sancor Cooperativas de Seguros</w:t>
      </w:r>
      <w:r>
        <w:rPr>
          <w:rFonts w:ascii="Arial" w:eastAsia="Calibri" w:hAnsi="Arial" w:cs="Arial"/>
          <w:sz w:val="20"/>
          <w:lang w:val="es-AR" w:eastAsia="en-US"/>
        </w:rPr>
        <w:t xml:space="preserve"> (</w:t>
      </w:r>
      <w:r w:rsidRPr="00CE4030">
        <w:rPr>
          <w:rFonts w:ascii="Arial" w:eastAsia="Calibri" w:hAnsi="Arial" w:cs="Arial"/>
          <w:sz w:val="20"/>
          <w:lang w:val="es-AR" w:eastAsia="en-US"/>
        </w:rPr>
        <w:t>CSJN, 08/05/2001.</w:t>
      </w:r>
      <w:r>
        <w:rPr>
          <w:rFonts w:ascii="Arial" w:eastAsia="Calibri" w:hAnsi="Arial" w:cs="Arial"/>
          <w:sz w:val="20"/>
          <w:lang w:val="es-AR" w:eastAsia="en-US"/>
        </w:rPr>
        <w:t>)</w:t>
      </w:r>
      <w:r w:rsidRPr="00CE4030">
        <w:rPr>
          <w:rFonts w:ascii="Arial" w:eastAsia="Calibri" w:hAnsi="Arial" w:cs="Arial"/>
          <w:sz w:val="20"/>
          <w:lang w:val="es-AR" w:eastAsia="en-US"/>
        </w:rPr>
        <w:t xml:space="preserve">. En ambas causas, la DGI había reconocido el crédito fiscal de los contribuyentes durante la vigencia de la Ley No. 24.073 (Resolución 71/95 en Banco Mendoza y Resolución No. 293/94 en Sancor). </w:t>
      </w:r>
    </w:p>
    <w:p w14:paraId="1CFA1E11" w14:textId="77777777" w:rsidR="00CD5C83" w:rsidRPr="0076068E" w:rsidRDefault="00CD5C83" w:rsidP="0076068E">
      <w:pPr>
        <w:pStyle w:val="Textoindependiente"/>
        <w:rPr>
          <w:lang w:val="es-ES"/>
        </w:rPr>
      </w:pPr>
    </w:p>
  </w:endnote>
  <w:endnote w:id="6">
    <w:p w14:paraId="5B6ADF81" w14:textId="42602547" w:rsidR="00CD5C83" w:rsidRDefault="00CD5C83" w:rsidP="0076068E">
      <w:pPr>
        <w:pStyle w:val="Textonotaalfinal"/>
        <w:jc w:val="both"/>
        <w:rPr>
          <w:rFonts w:ascii="Arial" w:hAnsi="Arial" w:cs="Arial"/>
        </w:rPr>
      </w:pPr>
      <w:r>
        <w:rPr>
          <w:rStyle w:val="Refdenotaalfinal"/>
        </w:rPr>
        <w:endnoteRef/>
      </w:r>
      <w:r>
        <w:t xml:space="preserve"> </w:t>
      </w:r>
      <w:r w:rsidRPr="00F650AF">
        <w:rPr>
          <w:rFonts w:ascii="Arial" w:hAnsi="Arial" w:cs="Arial"/>
        </w:rPr>
        <w:t>Artículo 6° del Código Civil y Comercial: Modo de contar los intervalos del derecho. El modo de contar los intervalos del derecho es el siguiente: día es el intervalo que corre de medianoche a medianoche. En los plazos fijados en días, a contar de uno determinado, queda éste excluido del cómputo, el cual debe empezar al siguiente. Los plazos de meses o años se computan de fecha a fecha. Cuando en el mes del vencimiento no hubiera día equivalente al inicial del cómputo, se entiende que el plazo expira el último día de ese mes. Los plazos vencen a la hora veinticuatro del día del vencimiento respectivo. El cómputo civil de los plazos es de días completos y continuos, y no se excluyen los días inhábiles o no laborables. En los plazos fijados en horas, a contar desde una hora determinada, queda ésta excluida del cómputo, el cual debe empezar desde la hora siguiente. Las leyes o las partes pueden disponer que el cómputo se efectúe de otro modo.</w:t>
      </w:r>
    </w:p>
    <w:p w14:paraId="7D82E9FC" w14:textId="77777777" w:rsidR="00CD5C83" w:rsidRPr="00F650AF" w:rsidRDefault="00CD5C83" w:rsidP="0076068E">
      <w:pPr>
        <w:pStyle w:val="Textonotaalfinal"/>
        <w:jc w:val="both"/>
        <w:rPr>
          <w:rFonts w:ascii="Arial" w:hAnsi="Arial" w:cs="Arial"/>
        </w:rPr>
      </w:pPr>
    </w:p>
  </w:endnote>
  <w:endnote w:id="7">
    <w:p w14:paraId="5478DF9B" w14:textId="2257568B" w:rsidR="00CD5C83" w:rsidRDefault="00CD5C83">
      <w:pPr>
        <w:pStyle w:val="Textonotaalfinal"/>
        <w:rPr>
          <w:lang w:val="en-US"/>
        </w:rPr>
      </w:pPr>
      <w:r>
        <w:rPr>
          <w:rStyle w:val="Refdenotaalfinal"/>
        </w:rPr>
        <w:endnoteRef/>
      </w:r>
      <w:r w:rsidRPr="007B1B05">
        <w:rPr>
          <w:lang w:val="en-US"/>
        </w:rPr>
        <w:t xml:space="preserve"> </w:t>
      </w:r>
      <w:bookmarkStart w:id="2" w:name="_Hlk54599527"/>
      <w:r w:rsidRPr="007B1B05">
        <w:rPr>
          <w:lang w:val="en-US"/>
        </w:rPr>
        <w:t xml:space="preserve">https:// </w:t>
      </w:r>
      <w:r>
        <w:rPr>
          <w:lang w:val="en-US"/>
        </w:rPr>
        <w:t>www.</w:t>
      </w:r>
      <w:r w:rsidRPr="007B1B05">
        <w:rPr>
          <w:lang w:val="en-US"/>
        </w:rPr>
        <w:t>tax</w:t>
      </w:r>
      <w:r>
        <w:rPr>
          <w:lang w:val="en-US"/>
        </w:rPr>
        <w:t>su</w:t>
      </w:r>
      <w:r w:rsidRPr="007B1B05">
        <w:rPr>
          <w:lang w:val="en-US"/>
        </w:rPr>
        <w:t>mmaries.pwc.com ; Ey-worldwide-corporate-taxguide-2020.pdf.; htts://www.garrigues.com/es</w:t>
      </w:r>
    </w:p>
    <w:p w14:paraId="0B9FDEDA" w14:textId="77777777" w:rsidR="00CD5C83" w:rsidRPr="007B1B05" w:rsidRDefault="00CD5C83">
      <w:pPr>
        <w:pStyle w:val="Textonotaalfinal"/>
        <w:rPr>
          <w:lang w:val="en-US"/>
        </w:rPr>
      </w:pPr>
    </w:p>
    <w:bookmarkEnd w:id="2"/>
  </w:endnote>
  <w:endnote w:id="8">
    <w:p w14:paraId="4CDAA0F7" w14:textId="6DBD8A38" w:rsidR="00CD5C83" w:rsidRDefault="00CD5C83" w:rsidP="0076068E">
      <w:pPr>
        <w:pStyle w:val="Textonotaalfinal"/>
        <w:jc w:val="both"/>
        <w:rPr>
          <w:rFonts w:ascii="Arial" w:hAnsi="Arial" w:cs="Arial"/>
          <w:lang w:val="es-ES"/>
        </w:rPr>
      </w:pPr>
      <w:r>
        <w:rPr>
          <w:rStyle w:val="Refdenotaalfinal"/>
        </w:rPr>
        <w:endnoteRef/>
      </w:r>
      <w:r>
        <w:t xml:space="preserve"> </w:t>
      </w:r>
      <w:r w:rsidRPr="00F650AF">
        <w:rPr>
          <w:rFonts w:ascii="Arial" w:hAnsi="Arial" w:cs="Arial"/>
          <w:lang w:val="es-ES"/>
        </w:rPr>
        <w:t xml:space="preserve">Rajmilovich, Darío: Quebrantos cedulares por rentas financieras, LA LEY 12/03/2019,1. Caranta, Martín R.: Compensación de quebrantos con ganancias. Situación posreforma fiscal, Práctica y Actualidad Tributaria, Abril 2019. </w:t>
      </w:r>
    </w:p>
    <w:p w14:paraId="1B6C7D98" w14:textId="77777777" w:rsidR="00CD5C83" w:rsidRPr="00F650AF" w:rsidRDefault="00CD5C83" w:rsidP="0076068E">
      <w:pPr>
        <w:pStyle w:val="Textonotaalfinal"/>
        <w:jc w:val="both"/>
        <w:rPr>
          <w:rFonts w:ascii="Arial" w:hAnsi="Arial" w:cs="Arial"/>
          <w:lang w:val="es-ES"/>
        </w:rPr>
      </w:pPr>
    </w:p>
  </w:endnote>
  <w:endnote w:id="9">
    <w:p w14:paraId="3A178B50" w14:textId="0AD1010E" w:rsidR="00CD5C83" w:rsidRDefault="00CD5C83" w:rsidP="00BC5BE1">
      <w:pPr>
        <w:ind w:right="108"/>
        <w:jc w:val="both"/>
        <w:rPr>
          <w:rFonts w:ascii="Arial" w:hAnsi="Arial" w:cs="Arial"/>
          <w:sz w:val="20"/>
          <w:szCs w:val="20"/>
          <w:lang w:val="es-ES"/>
        </w:rPr>
      </w:pPr>
      <w:r>
        <w:rPr>
          <w:rStyle w:val="Refdenotaalfinal"/>
        </w:rPr>
        <w:endnoteRef/>
      </w:r>
      <w:r>
        <w:t xml:space="preserve"> </w:t>
      </w:r>
      <w:r w:rsidRPr="00F650AF">
        <w:rPr>
          <w:rFonts w:ascii="Arial" w:hAnsi="Arial" w:cs="Arial"/>
          <w:sz w:val="20"/>
          <w:szCs w:val="20"/>
          <w:lang w:val="es-ES"/>
        </w:rPr>
        <w:t>Ver la postura de Lorenzo, Armando; Cavalli, César</w:t>
      </w:r>
      <w:r>
        <w:rPr>
          <w:rFonts w:ascii="Arial" w:hAnsi="Arial" w:cs="Arial"/>
          <w:sz w:val="20"/>
          <w:szCs w:val="20"/>
          <w:lang w:val="es-ES"/>
        </w:rPr>
        <w:t xml:space="preserve"> en</w:t>
      </w:r>
      <w:r w:rsidRPr="00F650AF">
        <w:rPr>
          <w:rFonts w:ascii="Arial" w:hAnsi="Arial" w:cs="Arial"/>
          <w:sz w:val="20"/>
          <w:szCs w:val="20"/>
          <w:lang w:val="es-ES"/>
        </w:rPr>
        <w:t xml:space="preserve"> Los quebrantos de títulos públicos emitidos en el país no son específicos en la tercera categoría, Consultor Tributario, marzo 2020 quienes sostiene que los quebrantos originados por la enajenación de títulos públicos con cotización, sufridos por los entes comprendidos en la tercera categoría, no resultan de naturaleza “específica”, conservando su característica de resultar compensables con ganancias de cualquier naturaleza. Similar tratamiento propone a todo título emitido en el país que cuente con cotización.</w:t>
      </w:r>
    </w:p>
    <w:p w14:paraId="0F221A81" w14:textId="77777777" w:rsidR="00CD5C83" w:rsidRDefault="00CD5C83" w:rsidP="00BC5BE1">
      <w:pPr>
        <w:ind w:right="108"/>
        <w:jc w:val="both"/>
      </w:pPr>
    </w:p>
  </w:endnote>
  <w:endnote w:id="10">
    <w:p w14:paraId="4F90FD1E" w14:textId="6E17A71F" w:rsidR="00CD5C83" w:rsidRDefault="00CD5C83" w:rsidP="0076068E">
      <w:pPr>
        <w:pStyle w:val="Textonotaalfinal"/>
        <w:rPr>
          <w:rFonts w:ascii="Arial" w:hAnsi="Arial" w:cs="Arial"/>
          <w:lang w:val="es-ES"/>
        </w:rPr>
      </w:pPr>
      <w:r>
        <w:rPr>
          <w:rStyle w:val="Refdenotaalfinal"/>
        </w:rPr>
        <w:endnoteRef/>
      </w:r>
      <w:r>
        <w:t xml:space="preserve"> </w:t>
      </w:r>
      <w:r w:rsidRPr="00BC5BE1">
        <w:rPr>
          <w:rFonts w:ascii="Arial" w:hAnsi="Arial" w:cs="Arial"/>
          <w:lang w:val="es-ES"/>
        </w:rPr>
        <w:t>Eidelman, José Rubén: Quebrantos impositivos (ley 11.683, Art. 19), IMP 1993-A, 1049</w:t>
      </w:r>
      <w:r>
        <w:rPr>
          <w:rFonts w:ascii="Arial" w:hAnsi="Arial" w:cs="Arial"/>
          <w:lang w:val="es-ES"/>
        </w:rPr>
        <w:t>.</w:t>
      </w:r>
    </w:p>
    <w:p w14:paraId="2D7D5AEA" w14:textId="77777777" w:rsidR="00CD5C83" w:rsidRPr="00BC5BE1" w:rsidRDefault="00CD5C83" w:rsidP="0076068E">
      <w:pPr>
        <w:pStyle w:val="Textonotaalfinal"/>
        <w:rPr>
          <w:rFonts w:ascii="Arial" w:hAnsi="Arial" w:cs="Arial"/>
          <w:lang w:val="es-ES"/>
        </w:rPr>
      </w:pPr>
    </w:p>
  </w:endnote>
  <w:endnote w:id="11">
    <w:p w14:paraId="340F87B7" w14:textId="1C733857" w:rsidR="00CD5C83" w:rsidRDefault="00CD5C83" w:rsidP="00BC5BE1">
      <w:pPr>
        <w:pStyle w:val="Textoindependiente"/>
        <w:rPr>
          <w:rFonts w:ascii="Arial" w:eastAsia="Calibri" w:hAnsi="Arial" w:cs="Arial"/>
          <w:sz w:val="20"/>
          <w:lang w:val="es-ES" w:eastAsia="en-US"/>
        </w:rPr>
      </w:pPr>
      <w:r>
        <w:rPr>
          <w:rStyle w:val="Refdenotaalfinal"/>
        </w:rPr>
        <w:endnoteRef/>
      </w:r>
      <w:r>
        <w:t xml:space="preserve"> </w:t>
      </w:r>
      <w:r w:rsidRPr="00BC5BE1">
        <w:rPr>
          <w:rFonts w:ascii="Arial" w:eastAsia="Calibri" w:hAnsi="Arial" w:cs="Arial"/>
          <w:sz w:val="20"/>
          <w:lang w:val="es-ES" w:eastAsia="en-US"/>
        </w:rPr>
        <w:t xml:space="preserve">En caso de la existencia de tal cualquier prohibición o restricción el Deudor, deberá, a su propio costo, obtener tales Dólares, en la medida permitida por la ley aplicable, mediante alguno de los procedimientos que se indican a continuación: mediante la compra con Pesos de títulos representativos de deuda o capital denominados y pagaderos en Dólares Estadounidenses emitidos por el Gobierno de la República Argentina y/o por compañías públicas o privadas argentinas -de cualquier serie o valor- que coticen en el Mercado de Valores S.A. y/o se negocien en el Mercado Abierto Electrónico S.A. y que sean activamente negociados en cualquier mercado bursátil o extrabursátil ampliamente reconocido internacionalmente (los “Títulos”), la posterior transferencia y venta de dichos Títulos fuera de la República Argentina por Dólares Estadounidenses y la posterior adquisición de Dólares, ello en una cantidad tal que, liquidados los Títulos en un mercado del exterior y una vez deducidos los honorarios, impuestos, costos, comisiones y gastos correspondientes, su producido en Dólares sea igual a la cantidad de dicha moneda adeudada. </w:t>
      </w:r>
    </w:p>
    <w:p w14:paraId="0B4520A0" w14:textId="77777777" w:rsidR="00CD5C83" w:rsidRPr="00BC5BE1" w:rsidRDefault="00CD5C83" w:rsidP="00BC5BE1">
      <w:pPr>
        <w:pStyle w:val="Textoindependiente"/>
        <w:rPr>
          <w:lang w:val="es-ES"/>
        </w:rPr>
      </w:pPr>
    </w:p>
  </w:endnote>
  <w:endnote w:id="12">
    <w:p w14:paraId="396332DC" w14:textId="76014462" w:rsidR="00CD5C83" w:rsidRDefault="00CD5C83" w:rsidP="00BC5BE1">
      <w:pPr>
        <w:pStyle w:val="Textonotaalfinal"/>
        <w:rPr>
          <w:rFonts w:ascii="Arial" w:hAnsi="Arial" w:cs="Arial"/>
          <w:lang w:val="es-ES"/>
        </w:rPr>
      </w:pPr>
      <w:r>
        <w:rPr>
          <w:rStyle w:val="Refdenotaalfinal"/>
        </w:rPr>
        <w:endnoteRef/>
      </w:r>
      <w:r>
        <w:t xml:space="preserve"> </w:t>
      </w:r>
      <w:r w:rsidRPr="00F650AF">
        <w:rPr>
          <w:rFonts w:ascii="Arial" w:hAnsi="Arial" w:cs="Arial"/>
          <w:lang w:val="es-ES"/>
        </w:rPr>
        <w:t xml:space="preserve">ECIM SRL, Tribunal Fiscal, Sala A, 13/12/2007. </w:t>
      </w:r>
    </w:p>
    <w:p w14:paraId="29A94E87" w14:textId="77777777" w:rsidR="00CD5C83" w:rsidRPr="00F650AF" w:rsidRDefault="00CD5C83" w:rsidP="00BC5BE1">
      <w:pPr>
        <w:pStyle w:val="Textonotaalfinal"/>
        <w:rPr>
          <w:rFonts w:ascii="Arial" w:hAnsi="Arial" w:cs="Arial"/>
          <w:lang w:val="es-ES"/>
        </w:rPr>
      </w:pPr>
    </w:p>
  </w:endnote>
  <w:endnote w:id="13">
    <w:p w14:paraId="00599981" w14:textId="5F364C4F" w:rsidR="00CD5C83" w:rsidRDefault="00CD5C83" w:rsidP="00BC5BE1">
      <w:pPr>
        <w:pStyle w:val="Textonotaalfinal"/>
        <w:rPr>
          <w:rFonts w:ascii="Arial" w:hAnsi="Arial" w:cs="Arial"/>
          <w:lang w:val="es-ES"/>
        </w:rPr>
      </w:pPr>
      <w:r>
        <w:rPr>
          <w:rStyle w:val="Refdenotaalfinal"/>
        </w:rPr>
        <w:endnoteRef/>
      </w:r>
      <w:r>
        <w:t xml:space="preserve"> </w:t>
      </w:r>
      <w:r w:rsidRPr="00F650AF">
        <w:rPr>
          <w:rFonts w:ascii="Arial" w:hAnsi="Arial" w:cs="Arial"/>
          <w:lang w:val="es-ES"/>
        </w:rPr>
        <w:t>Tecpetrol SA, CSJN, 12/09/2017.</w:t>
      </w:r>
    </w:p>
    <w:p w14:paraId="411A668A" w14:textId="77777777" w:rsidR="00CD5C83" w:rsidRPr="00BC5BE1" w:rsidRDefault="00CD5C83" w:rsidP="00BC5BE1">
      <w:pPr>
        <w:pStyle w:val="Textonotaalfinal"/>
        <w:rPr>
          <w:rFonts w:ascii="Arial" w:hAnsi="Arial" w:cs="Arial"/>
          <w:lang w:val="es-ES"/>
        </w:rPr>
      </w:pPr>
    </w:p>
  </w:endnote>
  <w:endnote w:id="14">
    <w:p w14:paraId="4B36CEAA" w14:textId="2CDC8EEE" w:rsidR="00CD5C83" w:rsidRDefault="00CD5C83" w:rsidP="00BC5BE1">
      <w:pPr>
        <w:pStyle w:val="Textonotaalfinal"/>
        <w:rPr>
          <w:rFonts w:ascii="Arial" w:hAnsi="Arial" w:cs="Arial"/>
          <w:lang w:val="es-ES"/>
        </w:rPr>
      </w:pPr>
      <w:r>
        <w:rPr>
          <w:rStyle w:val="Refdenotaalfinal"/>
        </w:rPr>
        <w:endnoteRef/>
      </w:r>
      <w:r>
        <w:t xml:space="preserve"> </w:t>
      </w:r>
      <w:r w:rsidRPr="00BC5BE1">
        <w:rPr>
          <w:rFonts w:ascii="Arial" w:hAnsi="Arial" w:cs="Arial"/>
          <w:lang w:val="es-ES"/>
        </w:rPr>
        <w:t>Candy S.A. Fallos 332:1571.</w:t>
      </w:r>
    </w:p>
    <w:p w14:paraId="24640F4A" w14:textId="77777777" w:rsidR="00CD5C83" w:rsidRDefault="00CD5C83" w:rsidP="00BC5BE1">
      <w:pPr>
        <w:pStyle w:val="Textonotaalfinal"/>
      </w:pPr>
    </w:p>
  </w:endnote>
  <w:endnote w:id="15">
    <w:p w14:paraId="7931B84A" w14:textId="2DAB40A8" w:rsidR="00CD5C83" w:rsidRDefault="00CD5C83" w:rsidP="00BC5BE1">
      <w:pPr>
        <w:pStyle w:val="Textonotaalfinal"/>
        <w:rPr>
          <w:rFonts w:ascii="Arial" w:hAnsi="Arial" w:cs="Arial"/>
          <w:lang w:val="es-ES"/>
        </w:rPr>
      </w:pPr>
      <w:r>
        <w:rPr>
          <w:rStyle w:val="Refdenotaalfinal"/>
        </w:rPr>
        <w:endnoteRef/>
      </w:r>
      <w:r>
        <w:t xml:space="preserve"> </w:t>
      </w:r>
      <w:r w:rsidRPr="00BC5BE1">
        <w:rPr>
          <w:rFonts w:ascii="Arial" w:hAnsi="Arial" w:cs="Arial"/>
          <w:lang w:val="es-ES"/>
        </w:rPr>
        <w:t>Gaetano de Maio, CSJN, 10 de julio de 2018 y Bayer, 14/08/2018.</w:t>
      </w:r>
    </w:p>
    <w:p w14:paraId="1DDC3E68" w14:textId="77777777" w:rsidR="00CD5C83" w:rsidRPr="00F650AF" w:rsidRDefault="00CD5C83" w:rsidP="00BC5BE1">
      <w:pPr>
        <w:pStyle w:val="Textonotaalfinal"/>
        <w:rPr>
          <w:lang w:val="es-ES"/>
        </w:rPr>
      </w:pPr>
    </w:p>
  </w:endnote>
  <w:endnote w:id="16">
    <w:p w14:paraId="2B998905" w14:textId="2552D94D" w:rsidR="00CD5C83" w:rsidRDefault="00CD5C83" w:rsidP="00BC5BE1">
      <w:pPr>
        <w:pStyle w:val="Textonotaalfinal"/>
        <w:rPr>
          <w:rFonts w:ascii="Arial" w:hAnsi="Arial" w:cs="Arial"/>
          <w:lang w:val="es-ES"/>
        </w:rPr>
      </w:pPr>
      <w:r>
        <w:rPr>
          <w:rStyle w:val="Refdenotaalfinal"/>
        </w:rPr>
        <w:endnoteRef/>
      </w:r>
      <w:r>
        <w:t xml:space="preserve"> </w:t>
      </w:r>
      <w:r w:rsidRPr="00BC5BE1">
        <w:rPr>
          <w:rFonts w:ascii="Arial" w:hAnsi="Arial" w:cs="Arial"/>
          <w:lang w:val="es-ES"/>
        </w:rPr>
        <w:t>Fallos 335:1923.</w:t>
      </w:r>
    </w:p>
    <w:p w14:paraId="76671751" w14:textId="77777777" w:rsidR="00CD5C83" w:rsidRDefault="00CD5C83" w:rsidP="00BC5BE1">
      <w:pPr>
        <w:pStyle w:val="Textonotaalfinal"/>
      </w:pPr>
    </w:p>
  </w:endnote>
  <w:endnote w:id="17">
    <w:p w14:paraId="3EC9385C" w14:textId="6BF66F0A" w:rsidR="00CD5C83" w:rsidRDefault="00CD5C83" w:rsidP="00BC5BE1">
      <w:pPr>
        <w:jc w:val="both"/>
        <w:rPr>
          <w:rFonts w:ascii="Arial" w:hAnsi="Arial" w:cs="Arial"/>
          <w:sz w:val="20"/>
          <w:szCs w:val="20"/>
          <w:lang w:val="es-ES"/>
        </w:rPr>
      </w:pPr>
      <w:r>
        <w:rPr>
          <w:rStyle w:val="Refdenotaalfinal"/>
        </w:rPr>
        <w:endnoteRef/>
      </w:r>
      <w:r>
        <w:t xml:space="preserve"> </w:t>
      </w:r>
      <w:r w:rsidRPr="00BC5BE1">
        <w:rPr>
          <w:rFonts w:ascii="Arial" w:hAnsi="Arial" w:cs="Arial"/>
          <w:sz w:val="20"/>
          <w:szCs w:val="20"/>
          <w:lang w:val="es-ES"/>
        </w:rPr>
        <w:t>Alubia S.A. CSJN, 4/11/2014.</w:t>
      </w:r>
    </w:p>
    <w:p w14:paraId="680ED322" w14:textId="77777777" w:rsidR="00CD5C83" w:rsidRPr="00A9598E" w:rsidRDefault="00CD5C83" w:rsidP="00BC5BE1">
      <w:pPr>
        <w:jc w:val="both"/>
        <w:rPr>
          <w:lang w:val="es-ES"/>
        </w:rPr>
      </w:pPr>
    </w:p>
  </w:endnote>
  <w:endnote w:id="18">
    <w:p w14:paraId="673AD9B2" w14:textId="1BC6ACF9" w:rsidR="00CD5C83" w:rsidRDefault="00CD5C83" w:rsidP="00C60CDA">
      <w:pPr>
        <w:pStyle w:val="Textonotaalfinal"/>
        <w:rPr>
          <w:rFonts w:ascii="Arial" w:hAnsi="Arial" w:cs="Arial"/>
          <w:lang w:val="es-ES"/>
        </w:rPr>
      </w:pPr>
      <w:r>
        <w:rPr>
          <w:rStyle w:val="Refdenotaalfinal"/>
        </w:rPr>
        <w:endnoteRef/>
      </w:r>
      <w:r>
        <w:t xml:space="preserve"> </w:t>
      </w:r>
      <w:r w:rsidRPr="00BC5BE1">
        <w:rPr>
          <w:rFonts w:ascii="Arial" w:hAnsi="Arial" w:cs="Arial"/>
          <w:lang w:val="es-ES"/>
        </w:rPr>
        <w:t xml:space="preserve">Distribuidora Gas Cuyana </w:t>
      </w:r>
      <w:r>
        <w:rPr>
          <w:rFonts w:ascii="Arial" w:hAnsi="Arial" w:cs="Arial"/>
          <w:lang w:val="es-ES"/>
        </w:rPr>
        <w:t xml:space="preserve">S.A. </w:t>
      </w:r>
      <w:r w:rsidRPr="00BC5BE1">
        <w:rPr>
          <w:rFonts w:ascii="Arial" w:hAnsi="Arial" w:cs="Arial"/>
          <w:lang w:val="es-ES"/>
        </w:rPr>
        <w:t>CSJN; 11/08/15.</w:t>
      </w:r>
    </w:p>
    <w:p w14:paraId="2FE69C55" w14:textId="77777777" w:rsidR="00CD5C83" w:rsidRDefault="00CD5C83" w:rsidP="00C60CDA">
      <w:pPr>
        <w:pStyle w:val="Textonotaalfinal"/>
      </w:pPr>
    </w:p>
  </w:endnote>
  <w:endnote w:id="19">
    <w:p w14:paraId="1A0E5F86" w14:textId="3D08347B" w:rsidR="00CD5C83" w:rsidRDefault="00CD5C83" w:rsidP="00BC5BE1">
      <w:pPr>
        <w:jc w:val="both"/>
        <w:rPr>
          <w:rFonts w:ascii="Arial" w:hAnsi="Arial" w:cs="Arial"/>
          <w:sz w:val="20"/>
          <w:szCs w:val="20"/>
          <w:lang w:val="es-ES"/>
        </w:rPr>
      </w:pPr>
      <w:r>
        <w:rPr>
          <w:rStyle w:val="Refdenotaalfinal"/>
        </w:rPr>
        <w:endnoteRef/>
      </w:r>
      <w:r>
        <w:t xml:space="preserve"> </w:t>
      </w:r>
      <w:r w:rsidRPr="00BC5BE1">
        <w:rPr>
          <w:rFonts w:ascii="Arial" w:hAnsi="Arial" w:cs="Arial"/>
          <w:sz w:val="20"/>
          <w:szCs w:val="20"/>
          <w:lang w:val="es-ES"/>
        </w:rPr>
        <w:t>Distribuidora Gas del Centro S.A., CSJN, 04/10/2016.</w:t>
      </w:r>
    </w:p>
    <w:p w14:paraId="7ED23716" w14:textId="77777777" w:rsidR="00CD5C83" w:rsidRPr="00BC5BE1" w:rsidRDefault="00CD5C83" w:rsidP="00BC5BE1">
      <w:pPr>
        <w:jc w:val="both"/>
        <w:rPr>
          <w:rFonts w:ascii="Arial" w:hAnsi="Arial" w:cs="Arial"/>
          <w:sz w:val="20"/>
          <w:szCs w:val="20"/>
          <w:lang w:val="es-ES"/>
        </w:rPr>
      </w:pPr>
    </w:p>
  </w:endnote>
  <w:endnote w:id="20">
    <w:p w14:paraId="1ADF8BC3" w14:textId="267AC2BF" w:rsidR="00CD5C83" w:rsidRDefault="00CD5C83" w:rsidP="00C60CDA">
      <w:pPr>
        <w:pStyle w:val="Textonotaalfinal"/>
        <w:rPr>
          <w:rFonts w:ascii="Arial" w:hAnsi="Arial" w:cs="Arial"/>
          <w:lang w:val="es-ES"/>
        </w:rPr>
      </w:pPr>
      <w:r>
        <w:rPr>
          <w:rStyle w:val="Refdenotaalfinal"/>
        </w:rPr>
        <w:endnoteRef/>
      </w:r>
      <w:r>
        <w:t xml:space="preserve"> </w:t>
      </w:r>
      <w:r w:rsidRPr="00BC5BE1">
        <w:rPr>
          <w:rFonts w:ascii="Arial" w:hAnsi="Arial" w:cs="Arial"/>
          <w:lang w:val="es-ES"/>
        </w:rPr>
        <w:t xml:space="preserve">Tilo Pampa S.A., </w:t>
      </w:r>
      <w:r>
        <w:rPr>
          <w:rFonts w:ascii="Arial" w:hAnsi="Arial" w:cs="Arial"/>
          <w:lang w:val="es-ES"/>
        </w:rPr>
        <w:t>CNFed. Cont. Adm., Sala</w:t>
      </w:r>
      <w:r w:rsidRPr="00BC5BE1">
        <w:rPr>
          <w:rFonts w:ascii="Arial" w:hAnsi="Arial" w:cs="Arial"/>
          <w:lang w:val="es-ES"/>
        </w:rPr>
        <w:t xml:space="preserve"> IV</w:t>
      </w:r>
      <w:r>
        <w:rPr>
          <w:rFonts w:ascii="Arial" w:hAnsi="Arial" w:cs="Arial"/>
          <w:lang w:val="es-ES"/>
        </w:rPr>
        <w:t>, 0</w:t>
      </w:r>
      <w:r w:rsidRPr="00BC5BE1">
        <w:rPr>
          <w:rFonts w:ascii="Arial" w:hAnsi="Arial" w:cs="Arial"/>
          <w:lang w:val="es-ES"/>
        </w:rPr>
        <w:t>1/09/2020</w:t>
      </w:r>
      <w:r>
        <w:rPr>
          <w:rFonts w:ascii="Arial" w:hAnsi="Arial" w:cs="Arial"/>
          <w:lang w:val="es-ES"/>
        </w:rPr>
        <w:t>.</w:t>
      </w:r>
    </w:p>
    <w:p w14:paraId="4E8DD6AD" w14:textId="77777777" w:rsidR="00CD5C83" w:rsidRDefault="00CD5C83" w:rsidP="00C60CDA">
      <w:pPr>
        <w:pStyle w:val="Textonotaalfinal"/>
      </w:pPr>
    </w:p>
  </w:endnote>
  <w:endnote w:id="21">
    <w:p w14:paraId="5E64A5C7" w14:textId="32719B04" w:rsidR="00CD5C83" w:rsidRDefault="00CD5C83" w:rsidP="00654820">
      <w:pPr>
        <w:pStyle w:val="Textonotaalfinal"/>
        <w:jc w:val="both"/>
        <w:rPr>
          <w:rFonts w:ascii="Arial" w:hAnsi="Arial" w:cs="Arial"/>
          <w:lang w:val="es-ES"/>
        </w:rPr>
      </w:pPr>
      <w:r>
        <w:rPr>
          <w:rStyle w:val="Refdenotaalfinal"/>
        </w:rPr>
        <w:endnoteRef/>
      </w:r>
      <w:r>
        <w:t xml:space="preserve"> </w:t>
      </w:r>
      <w:r w:rsidRPr="00BC5BE1">
        <w:rPr>
          <w:rFonts w:ascii="Arial" w:hAnsi="Arial" w:cs="Arial"/>
          <w:lang w:val="es-ES"/>
        </w:rPr>
        <w:t>En el mismo sentido, Sala I en las causas 5894/14 “Telefónica de Argentina SA c/ EN-AFIP-DGI s/Dirección General Impositiva” y 83207/15 “Central Puerto SA c/ EN-AFIP-DGI s/ Dirección General Impositiva”, sent. del 09/05/19 y 3/09/19, respectivamente; y Sala II en la causa ““Camuzzi Gas Pampeana SA c/ EN- AFIP-DGI- s/Dirección General Impositiva”, sent. del 16/03/20)</w:t>
      </w:r>
      <w:r>
        <w:rPr>
          <w:rFonts w:ascii="Arial" w:hAnsi="Arial" w:cs="Arial"/>
          <w:lang w:val="es-ES"/>
        </w:rPr>
        <w:t>.</w:t>
      </w:r>
    </w:p>
    <w:p w14:paraId="4B54BF12" w14:textId="77777777" w:rsidR="00CD5C83" w:rsidRDefault="00CD5C83" w:rsidP="00654820">
      <w:pPr>
        <w:pStyle w:val="Textonotaalfinal"/>
        <w:jc w:val="both"/>
      </w:pPr>
    </w:p>
  </w:endnote>
  <w:endnote w:id="22">
    <w:p w14:paraId="78C6A4FD" w14:textId="0D32EE7B" w:rsidR="00CD5C83" w:rsidRDefault="00CD5C83">
      <w:pPr>
        <w:pStyle w:val="Textonotaalfinal"/>
        <w:rPr>
          <w:rFonts w:ascii="Arial" w:hAnsi="Arial" w:cs="Arial"/>
          <w:lang w:val="es-ES"/>
        </w:rPr>
      </w:pPr>
      <w:r>
        <w:rPr>
          <w:rStyle w:val="Refdenotaalfinal"/>
        </w:rPr>
        <w:endnoteRef/>
      </w:r>
      <w:r>
        <w:t xml:space="preserve"> </w:t>
      </w:r>
      <w:r w:rsidRPr="00BC5BE1">
        <w:rPr>
          <w:rFonts w:ascii="Arial" w:hAnsi="Arial" w:cs="Arial"/>
          <w:lang w:val="es-ES"/>
        </w:rPr>
        <w:t>Ver al análisis de Caranta, Martín: Quebrantos Impositivos, su actualización, Errepar, Abril y Septiembre, 2019. Koss, Ricardo H.: Ajuste por Inflación, Errepar, Marzo 2020, sostiene “Basándome en este diferente tratamiento legal, interpreto que los quebrantos a actualizar son tanto los quebrantos comunes como los específicos originados en ejercicios anteriores a “los ejercicios fiscales o años fiscales que se inicien a partir del 1/1/2018, inclusive...”.</w:t>
      </w:r>
    </w:p>
    <w:p w14:paraId="75F3AF76" w14:textId="060F273D" w:rsidR="00CD5C83" w:rsidRPr="006270EA" w:rsidRDefault="00CD5C83">
      <w:pPr>
        <w:pStyle w:val="Textonotaalfinal"/>
      </w:pPr>
    </w:p>
  </w:endnote>
  <w:endnote w:id="23">
    <w:p w14:paraId="59F70B58" w14:textId="28B53500" w:rsidR="00CD5C83" w:rsidRDefault="00CD5C83">
      <w:pPr>
        <w:pStyle w:val="Textonotaalfinal"/>
        <w:rPr>
          <w:lang w:val="en-US"/>
        </w:rPr>
      </w:pPr>
      <w:r>
        <w:rPr>
          <w:rStyle w:val="Refdenotaalfinal"/>
        </w:rPr>
        <w:endnoteRef/>
      </w:r>
      <w:r w:rsidRPr="008C6317">
        <w:rPr>
          <w:lang w:val="en-US"/>
        </w:rPr>
        <w:t xml:space="preserve"> https:// www.taxsummaries.pwc.com ; Ey-worldwide-corporate-taxguide-2020.pdf.; htts://www.garrigues.com/es</w:t>
      </w:r>
    </w:p>
    <w:p w14:paraId="4ABF1020" w14:textId="77777777" w:rsidR="00CD5C83" w:rsidRPr="008C6317" w:rsidRDefault="00CD5C83">
      <w:pPr>
        <w:pStyle w:val="Textonotaalfinal"/>
        <w:rPr>
          <w:lang w:val="en-US"/>
        </w:rPr>
      </w:pPr>
    </w:p>
  </w:endnote>
  <w:endnote w:id="24">
    <w:p w14:paraId="03E4D9F5" w14:textId="209F2659" w:rsidR="00CD5C83" w:rsidRDefault="00CD5C83">
      <w:pPr>
        <w:pStyle w:val="Textonotaalfinal"/>
        <w:rPr>
          <w:lang w:val="en-US"/>
        </w:rPr>
      </w:pPr>
      <w:r>
        <w:rPr>
          <w:rStyle w:val="Refdenotaalfinal"/>
        </w:rPr>
        <w:endnoteRef/>
      </w:r>
      <w:r w:rsidRPr="007B1B05">
        <w:rPr>
          <w:lang w:val="en-US"/>
        </w:rPr>
        <w:t xml:space="preserve"> https:// www.taxsummaries.pwc.com ; Ey-worldwide-corporate-taxguide-2020.pdf.; htts://www.garrigues.com/es</w:t>
      </w:r>
    </w:p>
    <w:p w14:paraId="148EEE24" w14:textId="77777777" w:rsidR="00CD5C83" w:rsidRPr="007B1B05" w:rsidRDefault="00CD5C83">
      <w:pPr>
        <w:pStyle w:val="Textonotaalfinal"/>
        <w:rPr>
          <w:lang w:val="en-US"/>
        </w:rPr>
      </w:pPr>
    </w:p>
  </w:endnote>
  <w:endnote w:id="25">
    <w:p w14:paraId="332EF8FA" w14:textId="4A528B55" w:rsidR="00CD5C83" w:rsidRDefault="00CD5C83" w:rsidP="00592C47">
      <w:pPr>
        <w:pStyle w:val="Textonotaalfinal"/>
        <w:jc w:val="both"/>
        <w:rPr>
          <w:rFonts w:ascii="Arial" w:hAnsi="Arial" w:cs="Arial"/>
          <w:lang w:val="es-ES"/>
        </w:rPr>
      </w:pPr>
      <w:r>
        <w:rPr>
          <w:rStyle w:val="Refdenotaalfinal"/>
        </w:rPr>
        <w:endnoteRef/>
      </w:r>
      <w:r>
        <w:t xml:space="preserve"> </w:t>
      </w:r>
      <w:r w:rsidRPr="00654820">
        <w:rPr>
          <w:rFonts w:ascii="Arial" w:hAnsi="Arial" w:cs="Arial"/>
          <w:lang w:val="es-ES"/>
        </w:rPr>
        <w:t>Malvitano, Rubén - Gebhardt, Jorge, Ganancias. Imputación de gastos de organización, Errepar, Mayo 2008. García, F. D.: "El tratamiento fiscal de las pérdidas activadas" - Imp. - T. 2000-B - pág. 2252</w:t>
      </w:r>
      <w:r>
        <w:rPr>
          <w:rFonts w:ascii="Arial" w:hAnsi="Arial" w:cs="Arial"/>
          <w:lang w:val="es-ES"/>
        </w:rPr>
        <w:t>.</w:t>
      </w:r>
    </w:p>
    <w:p w14:paraId="5BB814D1" w14:textId="77777777" w:rsidR="00CD5C83" w:rsidRDefault="00CD5C83" w:rsidP="00592C47">
      <w:pPr>
        <w:pStyle w:val="Textonotaalfinal"/>
        <w:jc w:val="both"/>
      </w:pPr>
    </w:p>
  </w:endnote>
  <w:endnote w:id="26">
    <w:p w14:paraId="20BEA21B" w14:textId="40038711" w:rsidR="00CD5C83" w:rsidRPr="008512A2" w:rsidRDefault="00CD5C83" w:rsidP="00654820">
      <w:pPr>
        <w:pStyle w:val="Textonotaalfinal"/>
        <w:rPr>
          <w:rFonts w:ascii="Arial" w:hAnsi="Arial" w:cs="Arial"/>
          <w:lang w:val="en-US"/>
        </w:rPr>
      </w:pPr>
      <w:r>
        <w:rPr>
          <w:rStyle w:val="Refdenotaalfinal"/>
        </w:rPr>
        <w:endnoteRef/>
      </w:r>
      <w:r w:rsidRPr="008512A2">
        <w:rPr>
          <w:lang w:val="en-US"/>
        </w:rPr>
        <w:t xml:space="preserve"> </w:t>
      </w:r>
      <w:r w:rsidRPr="008512A2">
        <w:rPr>
          <w:rFonts w:ascii="Arial" w:hAnsi="Arial" w:cs="Arial"/>
          <w:lang w:val="en-US"/>
        </w:rPr>
        <w:t>Galeno Argentina SA. CSJN. 28.08.2012.</w:t>
      </w:r>
    </w:p>
    <w:p w14:paraId="62617BA7" w14:textId="77777777" w:rsidR="00CD5C83" w:rsidRPr="008512A2" w:rsidRDefault="00CD5C83" w:rsidP="00654820">
      <w:pPr>
        <w:pStyle w:val="Textonotaalfinal"/>
        <w:rPr>
          <w:rFonts w:ascii="Arial" w:hAnsi="Arial" w:cs="Arial"/>
          <w:lang w:val="en-US"/>
        </w:rPr>
      </w:pPr>
    </w:p>
  </w:endnote>
  <w:endnote w:id="27">
    <w:p w14:paraId="6A2B8692" w14:textId="225099B0" w:rsidR="00CD5C83" w:rsidRPr="007B1B05" w:rsidRDefault="00CD5C83" w:rsidP="007D700C">
      <w:pPr>
        <w:jc w:val="both"/>
        <w:rPr>
          <w:rFonts w:ascii="Arial" w:hAnsi="Arial" w:cs="Arial"/>
          <w:lang w:val="en-US"/>
        </w:rPr>
      </w:pPr>
      <w:r>
        <w:rPr>
          <w:rStyle w:val="Refdenotaalfinal"/>
        </w:rPr>
        <w:endnoteRef/>
      </w:r>
      <w:r w:rsidRPr="007B1B05">
        <w:rPr>
          <w:lang w:val="en-US"/>
        </w:rPr>
        <w:t xml:space="preserve"> https:</w:t>
      </w:r>
      <w:r>
        <w:rPr>
          <w:lang w:val="en-US"/>
        </w:rPr>
        <w:t>//</w:t>
      </w:r>
      <w:r w:rsidRPr="007B1B05">
        <w:rPr>
          <w:lang w:val="en-US"/>
        </w:rPr>
        <w:t xml:space="preserve"> tax sum</w:t>
      </w:r>
      <w:r>
        <w:rPr>
          <w:lang w:val="en-US"/>
        </w:rPr>
        <w:t>m</w:t>
      </w:r>
      <w:r w:rsidRPr="007B1B05">
        <w:rPr>
          <w:lang w:val="en-US"/>
        </w:rPr>
        <w:t>aries.p</w:t>
      </w:r>
      <w:r>
        <w:rPr>
          <w:lang w:val="en-US"/>
        </w:rPr>
        <w:t xml:space="preserve">wc.com ; </w:t>
      </w:r>
      <w:r w:rsidRPr="007B1B05">
        <w:rPr>
          <w:rFonts w:ascii="Arial" w:hAnsi="Arial" w:cs="Arial"/>
          <w:sz w:val="20"/>
          <w:szCs w:val="20"/>
          <w:lang w:val="en-US"/>
        </w:rPr>
        <w:t>Ey-worldwide-corporate-taxguide-2020.pdf.</w:t>
      </w:r>
      <w:r>
        <w:rPr>
          <w:rFonts w:ascii="Arial" w:hAnsi="Arial" w:cs="Arial"/>
          <w:sz w:val="20"/>
          <w:szCs w:val="20"/>
          <w:lang w:val="en-US"/>
        </w:rPr>
        <w:t>; htts://www.garrigues.com/es</w:t>
      </w:r>
      <w:r w:rsidRPr="007B1B05">
        <w:rPr>
          <w:rFonts w:ascii="Arial" w:hAnsi="Arial" w:cs="Arial"/>
          <w:sz w:val="20"/>
          <w:szCs w:val="20"/>
          <w:lang w:val="en-US"/>
        </w:rPr>
        <w:t>.</w:t>
      </w:r>
    </w:p>
  </w:endnote>
  <w:endnote w:id="28">
    <w:p w14:paraId="242FE385" w14:textId="15D0F97E" w:rsidR="00CD5C83" w:rsidRDefault="00CD5C83" w:rsidP="00654820">
      <w:pPr>
        <w:pStyle w:val="Textonotaalfinal"/>
        <w:rPr>
          <w:rFonts w:ascii="Arial" w:hAnsi="Arial" w:cs="Arial"/>
          <w:lang w:val="es-ES"/>
        </w:rPr>
      </w:pPr>
      <w:r>
        <w:rPr>
          <w:rStyle w:val="Refdenotaalfinal"/>
        </w:rPr>
        <w:endnoteRef/>
      </w:r>
      <w:r>
        <w:t xml:space="preserve"> </w:t>
      </w:r>
      <w:r>
        <w:rPr>
          <w:rFonts w:ascii="Arial" w:hAnsi="Arial" w:cs="Arial"/>
          <w:lang w:val="es-ES"/>
        </w:rPr>
        <w:t>a</w:t>
      </w:r>
      <w:r w:rsidRPr="00BC5BE1">
        <w:rPr>
          <w:rFonts w:ascii="Arial" w:hAnsi="Arial" w:cs="Arial"/>
          <w:lang w:val="es-ES"/>
        </w:rPr>
        <w:t xml:space="preserve">rtículo 48 de la </w:t>
      </w:r>
      <w:hyperlink r:id="rId1" w:history="1">
        <w:r w:rsidRPr="00654820">
          <w:rPr>
            <w:rFonts w:ascii="Arial" w:hAnsi="Arial" w:cs="Arial"/>
            <w:lang w:val="es-ES"/>
          </w:rPr>
          <w:t>Ley N°843</w:t>
        </w:r>
      </w:hyperlink>
      <w:r w:rsidRPr="00BC5BE1">
        <w:rPr>
          <w:rFonts w:ascii="Arial" w:hAnsi="Arial" w:cs="Arial"/>
          <w:lang w:val="es-ES"/>
        </w:rPr>
        <w:t xml:space="preserve"> (Título III – Impuesto sobre las utilidades empresarias</w:t>
      </w:r>
      <w:r w:rsidRPr="00654820">
        <w:rPr>
          <w:rFonts w:ascii="Arial" w:hAnsi="Arial" w:cs="Arial"/>
          <w:lang w:val="es-ES"/>
        </w:rPr>
        <w:t>)</w:t>
      </w:r>
      <w:r>
        <w:rPr>
          <w:rFonts w:ascii="Arial" w:hAnsi="Arial" w:cs="Arial"/>
          <w:lang w:val="es-ES"/>
        </w:rPr>
        <w:t>.</w:t>
      </w:r>
    </w:p>
    <w:p w14:paraId="0D000D79" w14:textId="77777777" w:rsidR="00CD5C83" w:rsidRPr="00654820" w:rsidRDefault="00CD5C83" w:rsidP="00654820">
      <w:pPr>
        <w:pStyle w:val="Textonotaalfinal"/>
        <w:rPr>
          <w:rFonts w:ascii="Arial" w:hAnsi="Arial" w:cs="Arial"/>
          <w:lang w:val="es-ES"/>
        </w:rPr>
      </w:pPr>
    </w:p>
  </w:endnote>
  <w:endnote w:id="29">
    <w:p w14:paraId="47E6167B" w14:textId="37213FE1" w:rsidR="00CD5C83" w:rsidRDefault="00CD5C83" w:rsidP="00654820">
      <w:pPr>
        <w:pStyle w:val="Textonotaalfinal"/>
        <w:rPr>
          <w:rFonts w:ascii="Arial" w:hAnsi="Arial" w:cs="Arial"/>
          <w:lang w:val="es-ES"/>
        </w:rPr>
      </w:pPr>
      <w:r>
        <w:rPr>
          <w:rStyle w:val="Refdenotaalfinal"/>
        </w:rPr>
        <w:endnoteRef/>
      </w:r>
      <w:r>
        <w:t xml:space="preserve"> </w:t>
      </w:r>
      <w:hyperlink r:id="rId2" w:history="1">
        <w:r>
          <w:rPr>
            <w:rStyle w:val="Hipervnculo0"/>
            <w:rFonts w:ascii="Arial" w:hAnsi="Arial" w:cs="Arial"/>
          </w:rPr>
          <w:t>I</w:t>
        </w:r>
        <w:r w:rsidRPr="00BC5BE1">
          <w:rPr>
            <w:rFonts w:ascii="Arial" w:hAnsi="Arial" w:cs="Arial"/>
            <w:lang w:val="es-ES"/>
          </w:rPr>
          <w:t>nstrucción Normativa RFB 1700/2017</w:t>
        </w:r>
      </w:hyperlink>
      <w:r>
        <w:rPr>
          <w:rFonts w:ascii="Arial" w:hAnsi="Arial" w:cs="Arial"/>
          <w:lang w:val="es-ES"/>
        </w:rPr>
        <w:t>.</w:t>
      </w:r>
    </w:p>
    <w:p w14:paraId="7E01A26B" w14:textId="77777777" w:rsidR="00CD5C83" w:rsidRDefault="00CD5C83" w:rsidP="00654820">
      <w:pPr>
        <w:pStyle w:val="Textonotaalfinal"/>
      </w:pPr>
    </w:p>
  </w:endnote>
  <w:endnote w:id="30">
    <w:p w14:paraId="192B0918" w14:textId="468099E4" w:rsidR="00CD5C83" w:rsidRDefault="00CD5C83" w:rsidP="00BC5BE1">
      <w:pPr>
        <w:pStyle w:val="Textonotaalfinal"/>
        <w:rPr>
          <w:rStyle w:val="Hipervnculo0"/>
          <w:rFonts w:ascii="Arial" w:hAnsi="Arial" w:cs="Arial"/>
        </w:rPr>
      </w:pPr>
      <w:r>
        <w:rPr>
          <w:rStyle w:val="Refdenotaalfinal"/>
        </w:rPr>
        <w:endnoteRef/>
      </w:r>
      <w:r>
        <w:t xml:space="preserve"> </w:t>
      </w:r>
      <w:r>
        <w:rPr>
          <w:rFonts w:ascii="Arial" w:hAnsi="Arial" w:cs="Arial"/>
        </w:rPr>
        <w:t xml:space="preserve">art. 31 inc. 3° del </w:t>
      </w:r>
      <w:hyperlink r:id="rId3" w:anchor=":~:text=Art%C3%ADculo%203.%C2%B0%2D%20Salvo%20disposici%C3%B3n,sujetas%20a%20impuestos%20sobre%20sus" w:history="1">
        <w:r>
          <w:rPr>
            <w:rStyle w:val="Hipervnculo0"/>
            <w:rFonts w:ascii="Arial" w:hAnsi="Arial" w:cs="Arial"/>
          </w:rPr>
          <w:t>Decreto Ley N°824</w:t>
        </w:r>
      </w:hyperlink>
      <w:r>
        <w:rPr>
          <w:rStyle w:val="Hipervnculo0"/>
          <w:rFonts w:ascii="Arial" w:hAnsi="Arial" w:cs="Arial"/>
        </w:rPr>
        <w:t>.</w:t>
      </w:r>
    </w:p>
    <w:p w14:paraId="4E9C8F1A" w14:textId="77777777" w:rsidR="00CD5C83" w:rsidRDefault="00CD5C83" w:rsidP="00BC5BE1">
      <w:pPr>
        <w:pStyle w:val="Textonotaalfinal"/>
      </w:pPr>
    </w:p>
  </w:endnote>
  <w:endnote w:id="31">
    <w:p w14:paraId="7509103A" w14:textId="6D09208D" w:rsidR="00CD5C83" w:rsidRDefault="00CD5C83" w:rsidP="00BC5BE1">
      <w:pPr>
        <w:pStyle w:val="Textonotaalfinal"/>
        <w:rPr>
          <w:rFonts w:ascii="Arial" w:hAnsi="Arial" w:cs="Arial"/>
          <w:lang w:val="es-ES"/>
        </w:rPr>
      </w:pPr>
      <w:r>
        <w:rPr>
          <w:rStyle w:val="Refdenotaalfinal"/>
        </w:rPr>
        <w:endnoteRef/>
      </w:r>
      <w:r>
        <w:t xml:space="preserve"> </w:t>
      </w:r>
      <w:hyperlink r:id="rId4" w:history="1">
        <w:r>
          <w:rPr>
            <w:rStyle w:val="Hipervnculo0"/>
          </w:rPr>
          <w:t>h</w:t>
        </w:r>
        <w:r w:rsidRPr="00BC5BE1">
          <w:rPr>
            <w:rFonts w:ascii="Arial" w:hAnsi="Arial" w:cs="Arial"/>
            <w:lang w:val="es-ES"/>
          </w:rPr>
          <w:t>ttps://www.globbal.co/wp-content/uploads/2019/09/50-Con-DIAN-09135-2019-Reajuste-de-perdidas-hasta-2016-en-Compensaciones.pdf</w:t>
        </w:r>
      </w:hyperlink>
      <w:r>
        <w:rPr>
          <w:rFonts w:ascii="Arial" w:hAnsi="Arial" w:cs="Arial"/>
          <w:lang w:val="es-ES"/>
        </w:rPr>
        <w:t>.</w:t>
      </w:r>
    </w:p>
    <w:p w14:paraId="1232A75A" w14:textId="77777777" w:rsidR="00CD5C83" w:rsidRDefault="00CD5C83" w:rsidP="00BC5BE1">
      <w:pPr>
        <w:pStyle w:val="Textonotaalfinal"/>
      </w:pPr>
    </w:p>
  </w:endnote>
  <w:endnote w:id="32">
    <w:p w14:paraId="628FFC7D" w14:textId="2219D261" w:rsidR="00CD5C83" w:rsidRDefault="00CD5C83" w:rsidP="00BC5BE1">
      <w:pPr>
        <w:pStyle w:val="Textonotaalfinal"/>
        <w:rPr>
          <w:rFonts w:ascii="Arial" w:hAnsi="Arial" w:cs="Arial"/>
        </w:rPr>
      </w:pPr>
      <w:r>
        <w:rPr>
          <w:rStyle w:val="Refdenotaalfinal"/>
        </w:rPr>
        <w:endnoteRef/>
      </w:r>
      <w:r>
        <w:t xml:space="preserve"> </w:t>
      </w:r>
      <w:hyperlink r:id="rId5" w:history="1">
        <w:r>
          <w:rPr>
            <w:rStyle w:val="Hipervnculo0"/>
            <w:rFonts w:ascii="Arial" w:hAnsi="Arial" w:cs="Arial"/>
          </w:rPr>
          <w:t>Ley de Régimen Tributario Interno</w:t>
        </w:r>
      </w:hyperlink>
      <w:r>
        <w:rPr>
          <w:rFonts w:ascii="Arial" w:hAnsi="Arial" w:cs="Arial"/>
        </w:rPr>
        <w:t xml:space="preserve"> y su </w:t>
      </w:r>
      <w:hyperlink r:id="rId6" w:history="1">
        <w:r>
          <w:rPr>
            <w:rStyle w:val="Hipervnculo0"/>
            <w:rFonts w:ascii="Arial" w:hAnsi="Arial" w:cs="Arial"/>
          </w:rPr>
          <w:t>Reglamento</w:t>
        </w:r>
      </w:hyperlink>
      <w:r>
        <w:rPr>
          <w:rFonts w:ascii="Arial" w:hAnsi="Arial" w:cs="Arial"/>
        </w:rPr>
        <w:t>, arts. 11 y 8 inc. c).</w:t>
      </w:r>
    </w:p>
    <w:p w14:paraId="53A88E0E" w14:textId="77777777" w:rsidR="00CD5C83" w:rsidRDefault="00CD5C83" w:rsidP="00BC5BE1">
      <w:pPr>
        <w:pStyle w:val="Textonotaalfinal"/>
      </w:pPr>
    </w:p>
  </w:endnote>
  <w:endnote w:id="33">
    <w:p w14:paraId="6454DBCE" w14:textId="3D18F6D8" w:rsidR="00CD5C83" w:rsidRDefault="00CD5C83" w:rsidP="00BC5BE1">
      <w:pPr>
        <w:pStyle w:val="Textonotaalfinal"/>
        <w:rPr>
          <w:rFonts w:ascii="Arial" w:hAnsi="Arial" w:cs="Arial"/>
        </w:rPr>
      </w:pPr>
      <w:r>
        <w:rPr>
          <w:rStyle w:val="Refdenotaalfinal"/>
        </w:rPr>
        <w:endnoteRef/>
      </w:r>
      <w:r>
        <w:t xml:space="preserve"> </w:t>
      </w:r>
      <w:hyperlink r:id="rId7" w:history="1">
        <w:r>
          <w:rPr>
            <w:rStyle w:val="Hipervnculo0"/>
            <w:rFonts w:ascii="Arial" w:hAnsi="Arial" w:cs="Arial"/>
          </w:rPr>
          <w:t>Ley del Impuesto sobre la Renta</w:t>
        </w:r>
      </w:hyperlink>
      <w:r>
        <w:rPr>
          <w:rFonts w:ascii="Arial" w:hAnsi="Arial" w:cs="Arial"/>
        </w:rPr>
        <w:t>, en su art. 57.</w:t>
      </w:r>
    </w:p>
    <w:p w14:paraId="01C2890D" w14:textId="77777777" w:rsidR="00CD5C83" w:rsidRDefault="00CD5C83" w:rsidP="00BC5BE1">
      <w:pPr>
        <w:pStyle w:val="Textonotaalfinal"/>
      </w:pPr>
    </w:p>
  </w:endnote>
  <w:endnote w:id="34">
    <w:p w14:paraId="431218F3" w14:textId="51D6AD41" w:rsidR="00CD5C83" w:rsidRDefault="00CD5C83" w:rsidP="00BC5BE1">
      <w:pPr>
        <w:pStyle w:val="Textonotaalfinal"/>
        <w:rPr>
          <w:rStyle w:val="Hipervnculo0"/>
          <w:rFonts w:ascii="Arial" w:hAnsi="Arial" w:cs="Arial"/>
        </w:rPr>
      </w:pPr>
      <w:r>
        <w:rPr>
          <w:rStyle w:val="Refdenotaalfinal"/>
        </w:rPr>
        <w:endnoteRef/>
      </w:r>
      <w:r>
        <w:t xml:space="preserve"> A</w:t>
      </w:r>
      <w:r>
        <w:rPr>
          <w:rFonts w:ascii="Arial" w:hAnsi="Arial" w:cs="Arial"/>
        </w:rPr>
        <w:t xml:space="preserve">rtículo 50 del </w:t>
      </w:r>
      <w:hyperlink r:id="rId8" w:history="1">
        <w:r>
          <w:rPr>
            <w:rStyle w:val="Hipervnculo0"/>
            <w:rFonts w:ascii="Arial" w:hAnsi="Arial" w:cs="Arial"/>
          </w:rPr>
          <w:t>Decreto Supremo N° 179-2004</w:t>
        </w:r>
      </w:hyperlink>
      <w:r>
        <w:rPr>
          <w:rStyle w:val="Hipervnculo0"/>
          <w:rFonts w:ascii="Arial" w:hAnsi="Arial" w:cs="Arial"/>
        </w:rPr>
        <w:t>.</w:t>
      </w:r>
    </w:p>
    <w:p w14:paraId="33C18642" w14:textId="77777777" w:rsidR="00CD5C83" w:rsidRDefault="00CD5C83" w:rsidP="00BC5BE1">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39784" w14:textId="77777777" w:rsidR="00CD5C83" w:rsidRDefault="00CD5C83" w:rsidP="00DC412A">
      <w:r>
        <w:separator/>
      </w:r>
    </w:p>
  </w:footnote>
  <w:footnote w:type="continuationSeparator" w:id="0">
    <w:p w14:paraId="0C4BD755" w14:textId="77777777" w:rsidR="00CD5C83" w:rsidRDefault="00CD5C83" w:rsidP="00DC41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11EAB"/>
    <w:multiLevelType w:val="hybridMultilevel"/>
    <w:tmpl w:val="A5E27DD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4A56EA4"/>
    <w:multiLevelType w:val="hybridMultilevel"/>
    <w:tmpl w:val="47B68102"/>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2" w15:restartNumberingAfterBreak="0">
    <w:nsid w:val="081B2233"/>
    <w:multiLevelType w:val="hybridMultilevel"/>
    <w:tmpl w:val="47B68102"/>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3" w15:restartNumberingAfterBreak="0">
    <w:nsid w:val="1C1B6C78"/>
    <w:multiLevelType w:val="hybridMultilevel"/>
    <w:tmpl w:val="D2162E5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2747365"/>
    <w:multiLevelType w:val="hybridMultilevel"/>
    <w:tmpl w:val="CD84E522"/>
    <w:lvl w:ilvl="0" w:tplc="F5069EF0">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58A6BA1"/>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12CAE"/>
    <w:multiLevelType w:val="hybridMultilevel"/>
    <w:tmpl w:val="A42462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F6F6757"/>
    <w:multiLevelType w:val="hybridMultilevel"/>
    <w:tmpl w:val="9A7C10A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333F28FB"/>
    <w:multiLevelType w:val="hybridMultilevel"/>
    <w:tmpl w:val="C7E41C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5DC73FD"/>
    <w:multiLevelType w:val="hybridMultilevel"/>
    <w:tmpl w:val="6B609FFE"/>
    <w:lvl w:ilvl="0" w:tplc="D7706894">
      <w:start w:val="2"/>
      <w:numFmt w:val="low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41615AB0"/>
    <w:multiLevelType w:val="hybridMultilevel"/>
    <w:tmpl w:val="AF5266D2"/>
    <w:lvl w:ilvl="0" w:tplc="88AE19AE">
      <w:start w:val="1"/>
      <w:numFmt w:val="lowerRoman"/>
      <w:lvlText w:val="(%1)"/>
      <w:lvlJc w:val="left"/>
      <w:pPr>
        <w:ind w:left="1080" w:hanging="72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47E269BA"/>
    <w:multiLevelType w:val="hybridMultilevel"/>
    <w:tmpl w:val="AEA8F3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5380241B"/>
    <w:multiLevelType w:val="multilevel"/>
    <w:tmpl w:val="CE38CB68"/>
    <w:lvl w:ilvl="0">
      <w:start w:val="1"/>
      <w:numFmt w:val="decimal"/>
      <w:lvlText w:val="%1."/>
      <w:lvlJc w:val="left"/>
      <w:pPr>
        <w:ind w:left="465" w:hanging="46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CEB7C93"/>
    <w:multiLevelType w:val="hybridMultilevel"/>
    <w:tmpl w:val="09DE0BD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66B04CB0"/>
    <w:multiLevelType w:val="hybridMultilevel"/>
    <w:tmpl w:val="DB62B9C6"/>
    <w:lvl w:ilvl="0" w:tplc="F98E84A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6F936F9"/>
    <w:multiLevelType w:val="hybridMultilevel"/>
    <w:tmpl w:val="47B8E1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D262BA0"/>
    <w:multiLevelType w:val="hybridMultilevel"/>
    <w:tmpl w:val="A31CF8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12"/>
  </w:num>
  <w:num w:numId="5">
    <w:abstractNumId w:val="4"/>
  </w:num>
  <w:num w:numId="6">
    <w:abstractNumId w:val="14"/>
  </w:num>
  <w:num w:numId="7">
    <w:abstractNumId w:val="16"/>
  </w:num>
  <w:num w:numId="8">
    <w:abstractNumId w:val="15"/>
  </w:num>
  <w:num w:numId="9">
    <w:abstractNumId w:val="6"/>
  </w:num>
  <w:num w:numId="10">
    <w:abstractNumId w:val="8"/>
  </w:num>
  <w:num w:numId="11">
    <w:abstractNumId w:val="5"/>
  </w:num>
  <w:num w:numId="12">
    <w:abstractNumId w:val="7"/>
  </w:num>
  <w:num w:numId="13">
    <w:abstractNumId w:val="13"/>
  </w:num>
  <w:num w:numId="14">
    <w:abstractNumId w:val="11"/>
  </w:num>
  <w:num w:numId="15">
    <w:abstractNumId w:val="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40F"/>
    <w:rsid w:val="0000389B"/>
    <w:rsid w:val="0002143D"/>
    <w:rsid w:val="00027BD4"/>
    <w:rsid w:val="0003710B"/>
    <w:rsid w:val="00041F3D"/>
    <w:rsid w:val="000453AC"/>
    <w:rsid w:val="00055A55"/>
    <w:rsid w:val="00063D1E"/>
    <w:rsid w:val="0007259E"/>
    <w:rsid w:val="000737C2"/>
    <w:rsid w:val="00090B9D"/>
    <w:rsid w:val="000B6B88"/>
    <w:rsid w:val="000C7A64"/>
    <w:rsid w:val="000D6600"/>
    <w:rsid w:val="0012052C"/>
    <w:rsid w:val="00122D1B"/>
    <w:rsid w:val="001240E2"/>
    <w:rsid w:val="001271A4"/>
    <w:rsid w:val="00127FD5"/>
    <w:rsid w:val="00142A7E"/>
    <w:rsid w:val="00183A73"/>
    <w:rsid w:val="001A18D2"/>
    <w:rsid w:val="001A6F15"/>
    <w:rsid w:val="001B2A91"/>
    <w:rsid w:val="001B4378"/>
    <w:rsid w:val="001C3AD9"/>
    <w:rsid w:val="001C6BD1"/>
    <w:rsid w:val="001D4F8B"/>
    <w:rsid w:val="001E2520"/>
    <w:rsid w:val="001F5BCC"/>
    <w:rsid w:val="00203017"/>
    <w:rsid w:val="002057FA"/>
    <w:rsid w:val="002478CA"/>
    <w:rsid w:val="002534D1"/>
    <w:rsid w:val="00262C47"/>
    <w:rsid w:val="00265DA5"/>
    <w:rsid w:val="00276858"/>
    <w:rsid w:val="0028790F"/>
    <w:rsid w:val="00295A84"/>
    <w:rsid w:val="002A7BF1"/>
    <w:rsid w:val="002B79B9"/>
    <w:rsid w:val="002E30FE"/>
    <w:rsid w:val="002F3D20"/>
    <w:rsid w:val="002F6042"/>
    <w:rsid w:val="002F7800"/>
    <w:rsid w:val="00300353"/>
    <w:rsid w:val="003033F2"/>
    <w:rsid w:val="003200A6"/>
    <w:rsid w:val="003479F9"/>
    <w:rsid w:val="00347BAD"/>
    <w:rsid w:val="00351DC6"/>
    <w:rsid w:val="00372822"/>
    <w:rsid w:val="003871FB"/>
    <w:rsid w:val="00392A70"/>
    <w:rsid w:val="003C02AB"/>
    <w:rsid w:val="003C5118"/>
    <w:rsid w:val="003C57BA"/>
    <w:rsid w:val="003C69AF"/>
    <w:rsid w:val="003D7E81"/>
    <w:rsid w:val="003E1BF5"/>
    <w:rsid w:val="003E1ED3"/>
    <w:rsid w:val="003F0788"/>
    <w:rsid w:val="003F3756"/>
    <w:rsid w:val="003F7BC0"/>
    <w:rsid w:val="00401025"/>
    <w:rsid w:val="00405A7B"/>
    <w:rsid w:val="00410E21"/>
    <w:rsid w:val="0041495D"/>
    <w:rsid w:val="00420B35"/>
    <w:rsid w:val="00424BF8"/>
    <w:rsid w:val="00432E99"/>
    <w:rsid w:val="004378EB"/>
    <w:rsid w:val="004525E5"/>
    <w:rsid w:val="004566A8"/>
    <w:rsid w:val="00456785"/>
    <w:rsid w:val="0046233D"/>
    <w:rsid w:val="00463630"/>
    <w:rsid w:val="004648DB"/>
    <w:rsid w:val="00465E82"/>
    <w:rsid w:val="00477375"/>
    <w:rsid w:val="00485D81"/>
    <w:rsid w:val="0048751A"/>
    <w:rsid w:val="0049300F"/>
    <w:rsid w:val="00495558"/>
    <w:rsid w:val="004C368B"/>
    <w:rsid w:val="004D386F"/>
    <w:rsid w:val="004E79DF"/>
    <w:rsid w:val="004F609A"/>
    <w:rsid w:val="004F6605"/>
    <w:rsid w:val="004F664A"/>
    <w:rsid w:val="00521A39"/>
    <w:rsid w:val="0052663D"/>
    <w:rsid w:val="00527275"/>
    <w:rsid w:val="005357D4"/>
    <w:rsid w:val="0053642D"/>
    <w:rsid w:val="00542BD1"/>
    <w:rsid w:val="00543CBB"/>
    <w:rsid w:val="00547117"/>
    <w:rsid w:val="0054744D"/>
    <w:rsid w:val="00550422"/>
    <w:rsid w:val="00556AAF"/>
    <w:rsid w:val="005737C9"/>
    <w:rsid w:val="0057507E"/>
    <w:rsid w:val="00582B76"/>
    <w:rsid w:val="00587DCD"/>
    <w:rsid w:val="00592821"/>
    <w:rsid w:val="00592C47"/>
    <w:rsid w:val="005A640B"/>
    <w:rsid w:val="005B0688"/>
    <w:rsid w:val="005C0AB1"/>
    <w:rsid w:val="005C2F6E"/>
    <w:rsid w:val="005D2554"/>
    <w:rsid w:val="005D35D4"/>
    <w:rsid w:val="005E369A"/>
    <w:rsid w:val="005E3C22"/>
    <w:rsid w:val="005E4A2A"/>
    <w:rsid w:val="005E6727"/>
    <w:rsid w:val="005F0519"/>
    <w:rsid w:val="005F0A1E"/>
    <w:rsid w:val="00601A4D"/>
    <w:rsid w:val="00605924"/>
    <w:rsid w:val="006245A8"/>
    <w:rsid w:val="00626B78"/>
    <w:rsid w:val="006270EA"/>
    <w:rsid w:val="0063096F"/>
    <w:rsid w:val="00642DBB"/>
    <w:rsid w:val="006444BE"/>
    <w:rsid w:val="00654820"/>
    <w:rsid w:val="0066193D"/>
    <w:rsid w:val="00670D8A"/>
    <w:rsid w:val="006722E2"/>
    <w:rsid w:val="0068317F"/>
    <w:rsid w:val="00684052"/>
    <w:rsid w:val="006A296E"/>
    <w:rsid w:val="006A61A0"/>
    <w:rsid w:val="006B0E75"/>
    <w:rsid w:val="006B2206"/>
    <w:rsid w:val="006B646E"/>
    <w:rsid w:val="006D66AD"/>
    <w:rsid w:val="006E1E4D"/>
    <w:rsid w:val="006E22D4"/>
    <w:rsid w:val="006F4319"/>
    <w:rsid w:val="00701993"/>
    <w:rsid w:val="00720B20"/>
    <w:rsid w:val="0072723F"/>
    <w:rsid w:val="007338D4"/>
    <w:rsid w:val="007452E0"/>
    <w:rsid w:val="007579F4"/>
    <w:rsid w:val="0076068E"/>
    <w:rsid w:val="007A51BA"/>
    <w:rsid w:val="007A6DCE"/>
    <w:rsid w:val="007B1B05"/>
    <w:rsid w:val="007B2530"/>
    <w:rsid w:val="007B4D76"/>
    <w:rsid w:val="007B71F8"/>
    <w:rsid w:val="007D0A88"/>
    <w:rsid w:val="007D4101"/>
    <w:rsid w:val="007D700C"/>
    <w:rsid w:val="007F2288"/>
    <w:rsid w:val="007F3553"/>
    <w:rsid w:val="007F4D30"/>
    <w:rsid w:val="00807753"/>
    <w:rsid w:val="00842244"/>
    <w:rsid w:val="00845C0A"/>
    <w:rsid w:val="008512A2"/>
    <w:rsid w:val="00870583"/>
    <w:rsid w:val="008746EB"/>
    <w:rsid w:val="00890A84"/>
    <w:rsid w:val="00892CDA"/>
    <w:rsid w:val="00897507"/>
    <w:rsid w:val="008A7317"/>
    <w:rsid w:val="008B21C7"/>
    <w:rsid w:val="008B4FE0"/>
    <w:rsid w:val="008C065C"/>
    <w:rsid w:val="008C6317"/>
    <w:rsid w:val="008D0EC6"/>
    <w:rsid w:val="008D49DB"/>
    <w:rsid w:val="008E00DE"/>
    <w:rsid w:val="008F3CA9"/>
    <w:rsid w:val="00917AE9"/>
    <w:rsid w:val="00923989"/>
    <w:rsid w:val="009334EB"/>
    <w:rsid w:val="0093377A"/>
    <w:rsid w:val="00933C5B"/>
    <w:rsid w:val="00941AC3"/>
    <w:rsid w:val="009432D9"/>
    <w:rsid w:val="0094540F"/>
    <w:rsid w:val="00953DC2"/>
    <w:rsid w:val="009719CB"/>
    <w:rsid w:val="00977475"/>
    <w:rsid w:val="00984468"/>
    <w:rsid w:val="00996FB3"/>
    <w:rsid w:val="009A2890"/>
    <w:rsid w:val="009D1B11"/>
    <w:rsid w:val="009D781C"/>
    <w:rsid w:val="009E065F"/>
    <w:rsid w:val="009E27E1"/>
    <w:rsid w:val="009E6E65"/>
    <w:rsid w:val="00A33C63"/>
    <w:rsid w:val="00A41DE3"/>
    <w:rsid w:val="00A62CE1"/>
    <w:rsid w:val="00A66482"/>
    <w:rsid w:val="00A80459"/>
    <w:rsid w:val="00A87CB6"/>
    <w:rsid w:val="00A90A75"/>
    <w:rsid w:val="00AB6A5D"/>
    <w:rsid w:val="00AC4AAE"/>
    <w:rsid w:val="00AD304E"/>
    <w:rsid w:val="00AE59B9"/>
    <w:rsid w:val="00B17F76"/>
    <w:rsid w:val="00B23726"/>
    <w:rsid w:val="00B2639A"/>
    <w:rsid w:val="00B335FA"/>
    <w:rsid w:val="00B3682C"/>
    <w:rsid w:val="00B43C50"/>
    <w:rsid w:val="00B50BBA"/>
    <w:rsid w:val="00B54758"/>
    <w:rsid w:val="00B974B1"/>
    <w:rsid w:val="00BC5BE1"/>
    <w:rsid w:val="00BD6033"/>
    <w:rsid w:val="00BE0A5B"/>
    <w:rsid w:val="00BF49A3"/>
    <w:rsid w:val="00C07395"/>
    <w:rsid w:val="00C1345C"/>
    <w:rsid w:val="00C33C16"/>
    <w:rsid w:val="00C40198"/>
    <w:rsid w:val="00C43A74"/>
    <w:rsid w:val="00C43B94"/>
    <w:rsid w:val="00C56A45"/>
    <w:rsid w:val="00C60CDA"/>
    <w:rsid w:val="00C6421F"/>
    <w:rsid w:val="00C66CE8"/>
    <w:rsid w:val="00C751DF"/>
    <w:rsid w:val="00CA1B47"/>
    <w:rsid w:val="00CA60AF"/>
    <w:rsid w:val="00CD5C83"/>
    <w:rsid w:val="00CF4912"/>
    <w:rsid w:val="00D04253"/>
    <w:rsid w:val="00D066F5"/>
    <w:rsid w:val="00D1671F"/>
    <w:rsid w:val="00D25DE0"/>
    <w:rsid w:val="00D275E1"/>
    <w:rsid w:val="00D3190E"/>
    <w:rsid w:val="00D3323D"/>
    <w:rsid w:val="00D40F77"/>
    <w:rsid w:val="00D421E0"/>
    <w:rsid w:val="00D42904"/>
    <w:rsid w:val="00D5053B"/>
    <w:rsid w:val="00D558F9"/>
    <w:rsid w:val="00D578F2"/>
    <w:rsid w:val="00D648A7"/>
    <w:rsid w:val="00D67B65"/>
    <w:rsid w:val="00D72172"/>
    <w:rsid w:val="00D7413F"/>
    <w:rsid w:val="00D75975"/>
    <w:rsid w:val="00D827AC"/>
    <w:rsid w:val="00D93EC8"/>
    <w:rsid w:val="00DB6086"/>
    <w:rsid w:val="00DB698D"/>
    <w:rsid w:val="00DC412A"/>
    <w:rsid w:val="00DC730E"/>
    <w:rsid w:val="00DD0316"/>
    <w:rsid w:val="00DE2826"/>
    <w:rsid w:val="00DE5CB5"/>
    <w:rsid w:val="00E120B0"/>
    <w:rsid w:val="00E15579"/>
    <w:rsid w:val="00E17F6E"/>
    <w:rsid w:val="00E30F18"/>
    <w:rsid w:val="00E32DDB"/>
    <w:rsid w:val="00E34A42"/>
    <w:rsid w:val="00E35788"/>
    <w:rsid w:val="00E87023"/>
    <w:rsid w:val="00E87C43"/>
    <w:rsid w:val="00EA2E92"/>
    <w:rsid w:val="00EC206C"/>
    <w:rsid w:val="00ED352A"/>
    <w:rsid w:val="00EE6C4D"/>
    <w:rsid w:val="00EF3F36"/>
    <w:rsid w:val="00EF6B52"/>
    <w:rsid w:val="00EF74DE"/>
    <w:rsid w:val="00F021E6"/>
    <w:rsid w:val="00F14DD0"/>
    <w:rsid w:val="00F25CD9"/>
    <w:rsid w:val="00F376EF"/>
    <w:rsid w:val="00F441A9"/>
    <w:rsid w:val="00F45D5C"/>
    <w:rsid w:val="00F54991"/>
    <w:rsid w:val="00F61087"/>
    <w:rsid w:val="00F61AB7"/>
    <w:rsid w:val="00F650AF"/>
    <w:rsid w:val="00F71916"/>
    <w:rsid w:val="00F9159E"/>
    <w:rsid w:val="00F974CC"/>
    <w:rsid w:val="00FA46F8"/>
    <w:rsid w:val="00FC01DD"/>
    <w:rsid w:val="00FC2071"/>
    <w:rsid w:val="00FE3A4B"/>
    <w:rsid w:val="00FE74B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A93C5"/>
  <w15:chartTrackingRefBased/>
  <w15:docId w15:val="{55E97AEC-DB92-4F63-877C-77F99953E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40F"/>
    <w:pPr>
      <w:spacing w:after="0" w:line="240"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4540F"/>
    <w:pPr>
      <w:ind w:left="720"/>
      <w:contextualSpacing/>
    </w:pPr>
  </w:style>
  <w:style w:type="paragraph" w:styleId="Textonotapie">
    <w:name w:val="footnote text"/>
    <w:basedOn w:val="Normal"/>
    <w:link w:val="TextonotapieCar"/>
    <w:uiPriority w:val="99"/>
    <w:semiHidden/>
    <w:unhideWhenUsed/>
    <w:rsid w:val="00DC412A"/>
    <w:rPr>
      <w:sz w:val="20"/>
      <w:szCs w:val="20"/>
    </w:rPr>
  </w:style>
  <w:style w:type="character" w:customStyle="1" w:styleId="TextonotapieCar">
    <w:name w:val="Texto nota pie Car"/>
    <w:basedOn w:val="Fuentedeprrafopredeter"/>
    <w:link w:val="Textonotapie"/>
    <w:uiPriority w:val="99"/>
    <w:semiHidden/>
    <w:rsid w:val="00DC412A"/>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DC412A"/>
    <w:rPr>
      <w:vertAlign w:val="superscript"/>
    </w:rPr>
  </w:style>
  <w:style w:type="paragraph" w:styleId="Textodeglobo">
    <w:name w:val="Balloon Text"/>
    <w:basedOn w:val="Normal"/>
    <w:link w:val="TextodegloboCar"/>
    <w:uiPriority w:val="99"/>
    <w:semiHidden/>
    <w:unhideWhenUsed/>
    <w:rsid w:val="007A6DC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A6DCE"/>
    <w:rPr>
      <w:rFonts w:ascii="Segoe UI" w:eastAsia="Calibri" w:hAnsi="Segoe UI" w:cs="Segoe UI"/>
      <w:sz w:val="18"/>
      <w:szCs w:val="18"/>
    </w:rPr>
  </w:style>
  <w:style w:type="paragraph" w:styleId="Textonotaalfinal">
    <w:name w:val="endnote text"/>
    <w:basedOn w:val="Normal"/>
    <w:link w:val="TextonotaalfinalCar"/>
    <w:uiPriority w:val="99"/>
    <w:unhideWhenUsed/>
    <w:rsid w:val="00A90A75"/>
    <w:rPr>
      <w:sz w:val="20"/>
      <w:szCs w:val="20"/>
    </w:rPr>
  </w:style>
  <w:style w:type="character" w:customStyle="1" w:styleId="TextonotaalfinalCar">
    <w:name w:val="Texto nota al final Car"/>
    <w:basedOn w:val="Fuentedeprrafopredeter"/>
    <w:link w:val="Textonotaalfinal"/>
    <w:uiPriority w:val="99"/>
    <w:rsid w:val="00A90A75"/>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A90A75"/>
    <w:rPr>
      <w:vertAlign w:val="superscript"/>
    </w:rPr>
  </w:style>
  <w:style w:type="paragraph" w:styleId="Textoindependiente">
    <w:name w:val="Body Text"/>
    <w:basedOn w:val="Normal"/>
    <w:link w:val="TextoindependienteCar"/>
    <w:semiHidden/>
    <w:rsid w:val="006B646E"/>
    <w:pPr>
      <w:jc w:val="both"/>
    </w:pPr>
    <w:rPr>
      <w:rFonts w:ascii="Times New Roman" w:eastAsia="Times New Roman" w:hAnsi="Times New Roman"/>
      <w:sz w:val="24"/>
      <w:szCs w:val="20"/>
      <w:lang w:val="es-ES_tradnl" w:eastAsia="es-AR"/>
    </w:rPr>
  </w:style>
  <w:style w:type="character" w:customStyle="1" w:styleId="TextoindependienteCar">
    <w:name w:val="Texto independiente Car"/>
    <w:basedOn w:val="Fuentedeprrafopredeter"/>
    <w:link w:val="Textoindependiente"/>
    <w:semiHidden/>
    <w:rsid w:val="006B646E"/>
    <w:rPr>
      <w:rFonts w:ascii="Times New Roman" w:eastAsia="Times New Roman" w:hAnsi="Times New Roman" w:cs="Times New Roman"/>
      <w:sz w:val="24"/>
      <w:szCs w:val="20"/>
      <w:lang w:val="es-ES_tradnl" w:eastAsia="es-AR"/>
    </w:rPr>
  </w:style>
  <w:style w:type="paragraph" w:styleId="Textoindependiente2">
    <w:name w:val="Body Text 2"/>
    <w:basedOn w:val="Normal"/>
    <w:link w:val="Textoindependiente2Car"/>
    <w:uiPriority w:val="99"/>
    <w:semiHidden/>
    <w:unhideWhenUsed/>
    <w:rsid w:val="00420B35"/>
    <w:pPr>
      <w:spacing w:after="120" w:line="480" w:lineRule="auto"/>
    </w:pPr>
  </w:style>
  <w:style w:type="character" w:customStyle="1" w:styleId="Textoindependiente2Car">
    <w:name w:val="Texto independiente 2 Car"/>
    <w:basedOn w:val="Fuentedeprrafopredeter"/>
    <w:link w:val="Textoindependiente2"/>
    <w:uiPriority w:val="99"/>
    <w:semiHidden/>
    <w:rsid w:val="00420B35"/>
    <w:rPr>
      <w:rFonts w:ascii="Calibri" w:eastAsia="Calibri" w:hAnsi="Calibri" w:cs="Times New Roman"/>
    </w:rPr>
  </w:style>
  <w:style w:type="character" w:customStyle="1" w:styleId="fecha">
    <w:name w:val="fecha"/>
    <w:basedOn w:val="Fuentedeprrafopredeter"/>
    <w:rsid w:val="00D42904"/>
  </w:style>
  <w:style w:type="paragraph" w:customStyle="1" w:styleId="sangrianovedades">
    <w:name w:val="sangrianovedades"/>
    <w:basedOn w:val="Normal"/>
    <w:rsid w:val="00B43C50"/>
    <w:pPr>
      <w:spacing w:before="100" w:beforeAutospacing="1" w:after="100" w:afterAutospacing="1"/>
    </w:pPr>
    <w:rPr>
      <w:rFonts w:ascii="Times New Roman" w:eastAsia="Times New Roman" w:hAnsi="Times New Roman"/>
      <w:sz w:val="24"/>
      <w:szCs w:val="24"/>
      <w:lang w:eastAsia="es-AR"/>
    </w:rPr>
  </w:style>
  <w:style w:type="paragraph" w:customStyle="1" w:styleId="errepar1erfrancesnovedades">
    <w:name w:val="errepar_1erfrancesnovedades"/>
    <w:basedOn w:val="Normal"/>
    <w:rsid w:val="00B43C50"/>
    <w:pPr>
      <w:spacing w:before="100" w:beforeAutospacing="1" w:after="100" w:afterAutospacing="1"/>
    </w:pPr>
    <w:rPr>
      <w:rFonts w:ascii="Times New Roman" w:eastAsia="Times New Roman" w:hAnsi="Times New Roman"/>
      <w:sz w:val="24"/>
      <w:szCs w:val="24"/>
      <w:lang w:eastAsia="es-AR"/>
    </w:rPr>
  </w:style>
  <w:style w:type="character" w:customStyle="1" w:styleId="hipervnculo">
    <w:name w:val="hipervnculo"/>
    <w:basedOn w:val="Fuentedeprrafopredeter"/>
    <w:rsid w:val="00AD304E"/>
  </w:style>
  <w:style w:type="character" w:customStyle="1" w:styleId="negritanovedades">
    <w:name w:val="negritanovedades"/>
    <w:basedOn w:val="Fuentedeprrafopredeter"/>
    <w:rsid w:val="00F14DD0"/>
  </w:style>
  <w:style w:type="character" w:customStyle="1" w:styleId="highlight">
    <w:name w:val="highlight"/>
    <w:basedOn w:val="Fuentedeprrafopredeter"/>
    <w:rsid w:val="007B2530"/>
  </w:style>
  <w:style w:type="character" w:customStyle="1" w:styleId="cursivanovedades">
    <w:name w:val="cursivanovedades"/>
    <w:basedOn w:val="Fuentedeprrafopredeter"/>
    <w:rsid w:val="00D40F77"/>
  </w:style>
  <w:style w:type="paragraph" w:styleId="Revisin">
    <w:name w:val="Revision"/>
    <w:hidden/>
    <w:uiPriority w:val="99"/>
    <w:semiHidden/>
    <w:rsid w:val="00CF4912"/>
    <w:pPr>
      <w:spacing w:after="0" w:line="240" w:lineRule="auto"/>
    </w:pPr>
    <w:rPr>
      <w:rFonts w:ascii="Calibri" w:eastAsia="Calibri" w:hAnsi="Calibri" w:cs="Times New Roman"/>
    </w:rPr>
  </w:style>
  <w:style w:type="character" w:customStyle="1" w:styleId="parte">
    <w:name w:val="parte"/>
    <w:basedOn w:val="Fuentedeprrafopredeter"/>
    <w:rsid w:val="00C07395"/>
  </w:style>
  <w:style w:type="table" w:styleId="Tablaconcuadrcula">
    <w:name w:val="Table Grid"/>
    <w:basedOn w:val="Tablanormal"/>
    <w:uiPriority w:val="39"/>
    <w:rsid w:val="002F3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0">
    <w:name w:val="Hyperlink"/>
    <w:basedOn w:val="Fuentedeprrafopredeter"/>
    <w:uiPriority w:val="99"/>
    <w:unhideWhenUsed/>
    <w:rsid w:val="00BE0A5B"/>
    <w:rPr>
      <w:color w:val="0563C1" w:themeColor="hyperlink"/>
      <w:u w:val="single"/>
    </w:rPr>
  </w:style>
  <w:style w:type="table" w:styleId="Tabladecuadrcula1clara-nfasis1">
    <w:name w:val="Grid Table 1 Light Accent 1"/>
    <w:basedOn w:val="Tablanormal"/>
    <w:uiPriority w:val="46"/>
    <w:rsid w:val="004566A8"/>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adecuadrcula4-nfasis1">
    <w:name w:val="Grid Table 4 Accent 1"/>
    <w:basedOn w:val="Tablanormal"/>
    <w:uiPriority w:val="49"/>
    <w:rsid w:val="006245A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UnresolvedMention">
    <w:name w:val="Unresolved Mention"/>
    <w:basedOn w:val="Fuentedeprrafopredeter"/>
    <w:uiPriority w:val="99"/>
    <w:semiHidden/>
    <w:unhideWhenUsed/>
    <w:rsid w:val="00DE5CB5"/>
    <w:rPr>
      <w:color w:val="605E5C"/>
      <w:shd w:val="clear" w:color="auto" w:fill="E1DFDD"/>
    </w:rPr>
  </w:style>
  <w:style w:type="paragraph" w:styleId="Sinespaciado">
    <w:name w:val="No Spacing"/>
    <w:uiPriority w:val="1"/>
    <w:qFormat/>
    <w:rsid w:val="00CD5C8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39904">
      <w:bodyDiv w:val="1"/>
      <w:marLeft w:val="0"/>
      <w:marRight w:val="0"/>
      <w:marTop w:val="0"/>
      <w:marBottom w:val="0"/>
      <w:divBdr>
        <w:top w:val="none" w:sz="0" w:space="0" w:color="auto"/>
        <w:left w:val="none" w:sz="0" w:space="0" w:color="auto"/>
        <w:bottom w:val="none" w:sz="0" w:space="0" w:color="auto"/>
        <w:right w:val="none" w:sz="0" w:space="0" w:color="auto"/>
      </w:divBdr>
    </w:div>
    <w:div w:id="310792495">
      <w:bodyDiv w:val="1"/>
      <w:marLeft w:val="0"/>
      <w:marRight w:val="0"/>
      <w:marTop w:val="0"/>
      <w:marBottom w:val="0"/>
      <w:divBdr>
        <w:top w:val="none" w:sz="0" w:space="0" w:color="auto"/>
        <w:left w:val="none" w:sz="0" w:space="0" w:color="auto"/>
        <w:bottom w:val="none" w:sz="0" w:space="0" w:color="auto"/>
        <w:right w:val="none" w:sz="0" w:space="0" w:color="auto"/>
      </w:divBdr>
    </w:div>
    <w:div w:id="433524220">
      <w:bodyDiv w:val="1"/>
      <w:marLeft w:val="0"/>
      <w:marRight w:val="0"/>
      <w:marTop w:val="0"/>
      <w:marBottom w:val="0"/>
      <w:divBdr>
        <w:top w:val="none" w:sz="0" w:space="0" w:color="auto"/>
        <w:left w:val="none" w:sz="0" w:space="0" w:color="auto"/>
        <w:bottom w:val="none" w:sz="0" w:space="0" w:color="auto"/>
        <w:right w:val="none" w:sz="0" w:space="0" w:color="auto"/>
      </w:divBdr>
    </w:div>
    <w:div w:id="453598717">
      <w:bodyDiv w:val="1"/>
      <w:marLeft w:val="0"/>
      <w:marRight w:val="0"/>
      <w:marTop w:val="0"/>
      <w:marBottom w:val="0"/>
      <w:divBdr>
        <w:top w:val="none" w:sz="0" w:space="0" w:color="auto"/>
        <w:left w:val="none" w:sz="0" w:space="0" w:color="auto"/>
        <w:bottom w:val="none" w:sz="0" w:space="0" w:color="auto"/>
        <w:right w:val="none" w:sz="0" w:space="0" w:color="auto"/>
      </w:divBdr>
    </w:div>
    <w:div w:id="760176357">
      <w:bodyDiv w:val="1"/>
      <w:marLeft w:val="0"/>
      <w:marRight w:val="0"/>
      <w:marTop w:val="0"/>
      <w:marBottom w:val="0"/>
      <w:divBdr>
        <w:top w:val="none" w:sz="0" w:space="0" w:color="auto"/>
        <w:left w:val="none" w:sz="0" w:space="0" w:color="auto"/>
        <w:bottom w:val="none" w:sz="0" w:space="0" w:color="auto"/>
        <w:right w:val="none" w:sz="0" w:space="0" w:color="auto"/>
      </w:divBdr>
    </w:div>
    <w:div w:id="857424288">
      <w:bodyDiv w:val="1"/>
      <w:marLeft w:val="0"/>
      <w:marRight w:val="0"/>
      <w:marTop w:val="0"/>
      <w:marBottom w:val="0"/>
      <w:divBdr>
        <w:top w:val="none" w:sz="0" w:space="0" w:color="auto"/>
        <w:left w:val="none" w:sz="0" w:space="0" w:color="auto"/>
        <w:bottom w:val="none" w:sz="0" w:space="0" w:color="auto"/>
        <w:right w:val="none" w:sz="0" w:space="0" w:color="auto"/>
      </w:divBdr>
    </w:div>
    <w:div w:id="1042947608">
      <w:bodyDiv w:val="1"/>
      <w:marLeft w:val="0"/>
      <w:marRight w:val="0"/>
      <w:marTop w:val="0"/>
      <w:marBottom w:val="0"/>
      <w:divBdr>
        <w:top w:val="none" w:sz="0" w:space="0" w:color="auto"/>
        <w:left w:val="none" w:sz="0" w:space="0" w:color="auto"/>
        <w:bottom w:val="none" w:sz="0" w:space="0" w:color="auto"/>
        <w:right w:val="none" w:sz="0" w:space="0" w:color="auto"/>
      </w:divBdr>
    </w:div>
    <w:div w:id="1200122296">
      <w:bodyDiv w:val="1"/>
      <w:marLeft w:val="0"/>
      <w:marRight w:val="0"/>
      <w:marTop w:val="0"/>
      <w:marBottom w:val="0"/>
      <w:divBdr>
        <w:top w:val="none" w:sz="0" w:space="0" w:color="auto"/>
        <w:left w:val="none" w:sz="0" w:space="0" w:color="auto"/>
        <w:bottom w:val="none" w:sz="0" w:space="0" w:color="auto"/>
        <w:right w:val="none" w:sz="0" w:space="0" w:color="auto"/>
      </w:divBdr>
    </w:div>
    <w:div w:id="1326590439">
      <w:bodyDiv w:val="1"/>
      <w:marLeft w:val="0"/>
      <w:marRight w:val="0"/>
      <w:marTop w:val="0"/>
      <w:marBottom w:val="0"/>
      <w:divBdr>
        <w:top w:val="none" w:sz="0" w:space="0" w:color="auto"/>
        <w:left w:val="none" w:sz="0" w:space="0" w:color="auto"/>
        <w:bottom w:val="none" w:sz="0" w:space="0" w:color="auto"/>
        <w:right w:val="none" w:sz="0" w:space="0" w:color="auto"/>
      </w:divBdr>
    </w:div>
    <w:div w:id="1402361686">
      <w:bodyDiv w:val="1"/>
      <w:marLeft w:val="0"/>
      <w:marRight w:val="0"/>
      <w:marTop w:val="0"/>
      <w:marBottom w:val="0"/>
      <w:divBdr>
        <w:top w:val="none" w:sz="0" w:space="0" w:color="auto"/>
        <w:left w:val="none" w:sz="0" w:space="0" w:color="auto"/>
        <w:bottom w:val="none" w:sz="0" w:space="0" w:color="auto"/>
        <w:right w:val="none" w:sz="0" w:space="0" w:color="auto"/>
      </w:divBdr>
    </w:div>
    <w:div w:id="1430347489">
      <w:bodyDiv w:val="1"/>
      <w:marLeft w:val="0"/>
      <w:marRight w:val="0"/>
      <w:marTop w:val="0"/>
      <w:marBottom w:val="0"/>
      <w:divBdr>
        <w:top w:val="none" w:sz="0" w:space="0" w:color="auto"/>
        <w:left w:val="none" w:sz="0" w:space="0" w:color="auto"/>
        <w:bottom w:val="none" w:sz="0" w:space="0" w:color="auto"/>
        <w:right w:val="none" w:sz="0" w:space="0" w:color="auto"/>
      </w:divBdr>
    </w:div>
    <w:div w:id="1496142919">
      <w:bodyDiv w:val="1"/>
      <w:marLeft w:val="0"/>
      <w:marRight w:val="0"/>
      <w:marTop w:val="0"/>
      <w:marBottom w:val="0"/>
      <w:divBdr>
        <w:top w:val="none" w:sz="0" w:space="0" w:color="auto"/>
        <w:left w:val="none" w:sz="0" w:space="0" w:color="auto"/>
        <w:bottom w:val="none" w:sz="0" w:space="0" w:color="auto"/>
        <w:right w:val="none" w:sz="0" w:space="0" w:color="auto"/>
      </w:divBdr>
    </w:div>
    <w:div w:id="1611738125">
      <w:bodyDiv w:val="1"/>
      <w:marLeft w:val="0"/>
      <w:marRight w:val="0"/>
      <w:marTop w:val="0"/>
      <w:marBottom w:val="0"/>
      <w:divBdr>
        <w:top w:val="none" w:sz="0" w:space="0" w:color="auto"/>
        <w:left w:val="none" w:sz="0" w:space="0" w:color="auto"/>
        <w:bottom w:val="none" w:sz="0" w:space="0" w:color="auto"/>
        <w:right w:val="none" w:sz="0" w:space="0" w:color="auto"/>
      </w:divBdr>
    </w:div>
    <w:div w:id="1797142561">
      <w:bodyDiv w:val="1"/>
      <w:marLeft w:val="0"/>
      <w:marRight w:val="0"/>
      <w:marTop w:val="0"/>
      <w:marBottom w:val="0"/>
      <w:divBdr>
        <w:top w:val="none" w:sz="0" w:space="0" w:color="auto"/>
        <w:left w:val="none" w:sz="0" w:space="0" w:color="auto"/>
        <w:bottom w:val="none" w:sz="0" w:space="0" w:color="auto"/>
        <w:right w:val="none" w:sz="0" w:space="0" w:color="auto"/>
      </w:divBdr>
    </w:div>
    <w:div w:id="1817869073">
      <w:bodyDiv w:val="1"/>
      <w:marLeft w:val="0"/>
      <w:marRight w:val="0"/>
      <w:marTop w:val="0"/>
      <w:marBottom w:val="0"/>
      <w:divBdr>
        <w:top w:val="none" w:sz="0" w:space="0" w:color="auto"/>
        <w:left w:val="none" w:sz="0" w:space="0" w:color="auto"/>
        <w:bottom w:val="none" w:sz="0" w:space="0" w:color="auto"/>
        <w:right w:val="none" w:sz="0" w:space="0" w:color="auto"/>
      </w:divBdr>
    </w:div>
    <w:div w:id="1869484776">
      <w:bodyDiv w:val="1"/>
      <w:marLeft w:val="0"/>
      <w:marRight w:val="0"/>
      <w:marTop w:val="0"/>
      <w:marBottom w:val="0"/>
      <w:divBdr>
        <w:top w:val="none" w:sz="0" w:space="0" w:color="auto"/>
        <w:left w:val="none" w:sz="0" w:space="0" w:color="auto"/>
        <w:bottom w:val="none" w:sz="0" w:space="0" w:color="auto"/>
        <w:right w:val="none" w:sz="0" w:space="0" w:color="auto"/>
      </w:divBdr>
    </w:div>
    <w:div w:id="206799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www.sunat.gob.pe/legislacion/renta/tuo.html" TargetMode="External"/><Relationship Id="rId3" Type="http://schemas.openxmlformats.org/officeDocument/2006/relationships/hyperlink" Target="https://www.bcn.cl/leychile/navegar?idNorma=6368" TargetMode="External"/><Relationship Id="rId7" Type="http://schemas.openxmlformats.org/officeDocument/2006/relationships/hyperlink" Target="http://www.diputados.gob.mx/LeyesBiblio/pdf/LISR_091219.pdf" TargetMode="External"/><Relationship Id="rId2" Type="http://schemas.openxmlformats.org/officeDocument/2006/relationships/hyperlink" Target="http://normas.receita.fazenda.gov.br/sijut2consulta/link.action?idAto=81268&amp;visao=original" TargetMode="External"/><Relationship Id="rId1" Type="http://schemas.openxmlformats.org/officeDocument/2006/relationships/hyperlink" Target="https://boliviaimpuestos.com/ley-843-actualizada-a-enero-2020-y-sus-cambios/" TargetMode="External"/><Relationship Id="rId6" Type="http://schemas.openxmlformats.org/officeDocument/2006/relationships/hyperlink" Target="https://www.sri.gob.ec/DocumentosAlfrescoPortlet/descargar/4144b625-0c8d-467e-a99d-c1a1daa3ad6b/REGLAMENTO_APLICACI%c3%93N_DE_LA_LEY_DE_REGIMEN_TRIBUTARIO_INTERNO.pdf" TargetMode="External"/><Relationship Id="rId5" Type="http://schemas.openxmlformats.org/officeDocument/2006/relationships/hyperlink" Target="https://www.sri.gob.ec/DocumentosAlfrescoPortlet/descargar/14376e67-9c72-4cf1-96b8-ebed61568ff7/LEY_DE_R%c3%89GIMEN_TRIBUTARIO_INTERNO_LRTI.pdf" TargetMode="External"/><Relationship Id="rId4" Type="http://schemas.openxmlformats.org/officeDocument/2006/relationships/hyperlink" Target="https://www.globbal.co/wp-content/uploads/2019/09/50-Con-DIAN-09135-2019-Reajuste-de-perdidas-hasta-2016-en-Compensacione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7A55A-0856-46CA-8E9D-840B012FA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10386</Words>
  <Characters>57127</Characters>
  <Application>Microsoft Office Word</Application>
  <DocSecurity>0</DocSecurity>
  <Lines>476</Lines>
  <Paragraphs>134</Paragraphs>
  <ScaleCrop>false</ScaleCrop>
  <HeadingPairs>
    <vt:vector size="2" baseType="variant">
      <vt:variant>
        <vt:lpstr>Título</vt:lpstr>
      </vt:variant>
      <vt:variant>
        <vt:i4>1</vt:i4>
      </vt:variant>
    </vt:vector>
  </HeadingPairs>
  <TitlesOfParts>
    <vt:vector size="1" baseType="lpstr">
      <vt:lpstr/>
    </vt:vector>
  </TitlesOfParts>
  <Company>Marval</Company>
  <LinksUpToDate>false</LinksUpToDate>
  <CharactersWithSpaces>67379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Soledad González</dc:creator>
  <cp:keywords/>
  <dc:description/>
  <cp:lastModifiedBy>Emanuel Matias Salinas</cp:lastModifiedBy>
  <cp:revision>6</cp:revision>
  <dcterms:created xsi:type="dcterms:W3CDTF">2020-10-27T00:15:00Z</dcterms:created>
  <dcterms:modified xsi:type="dcterms:W3CDTF">2020-11-02T23:07:00Z</dcterms:modified>
</cp:coreProperties>
</file>